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20"/>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pPr>
              <w:pStyle w:val="20"/>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67.040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p>
        </w:tc>
        <w:tc>
          <w:tcPr>
            <w:tcW w:w="8855" w:type="dxa"/>
          </w:tcPr>
          <w:p>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X00</w:t>
            </w:r>
            <w:r>
              <w:rPr>
                <w:rFonts w:ascii="黑体" w:hAnsi="黑体" w:eastAsia="黑体"/>
                <w:sz w:val="21"/>
                <w:szCs w:val="21"/>
              </w:rPr>
              <w:fldChar w:fldCharType="end"/>
            </w:r>
            <w:bookmarkEnd w:id="1"/>
          </w:p>
        </w:tc>
      </w:tr>
    </w:tbl>
    <w:tbl>
      <w:tblPr>
        <w:tblStyle w:val="30"/>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407" w:type="dxa"/>
          </w:tcPr>
          <w:p>
            <w:pPr>
              <w:pStyle w:val="52"/>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pPr>
        <w:pStyle w:val="53"/>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8"/>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32</w:t>
      </w:r>
      <w:r>
        <w:rPr>
          <w:lang w:val="fr-FR"/>
        </w:rPr>
        <w:t>/T</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w:t>
      </w:r>
      <w:r>
        <w:rPr>
          <w:rFonts w:hint="eastAsia"/>
        </w:rPr>
        <w:t>4</w:t>
      </w:r>
      <w:r>
        <w:fldChar w:fldCharType="end"/>
      </w:r>
      <w:bookmarkEnd w:id="7"/>
    </w:p>
    <w:p>
      <w:pPr>
        <w:pStyle w:val="199"/>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pPr>
        <w:pStyle w:val="53"/>
        <w:framePr w:w="9639" w:h="6976" w:hRule="exact" w:hSpace="0" w:vSpace="0" w:hAnchor="page" w:y="6408"/>
        <w:jc w:val="center"/>
        <w:rPr>
          <w:rFonts w:ascii="黑体" w:hAnsi="黑体" w:eastAsia="黑体"/>
          <w:b w:val="0"/>
          <w:bCs w:val="0"/>
          <w:w w:val="100"/>
        </w:rPr>
      </w:pPr>
    </w:p>
    <w:p>
      <w:pPr>
        <w:pStyle w:val="200"/>
        <w:framePr w:h="6974" w:hRule="exact"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食品安全总监制度实施指南</w:t>
      </w:r>
      <w:r>
        <w:fldChar w:fldCharType="end"/>
      </w:r>
      <w:bookmarkEnd w:id="9"/>
    </w:p>
    <w:p>
      <w:pPr>
        <w:framePr w:w="9639" w:h="6974" w:hRule="exact" w:wrap="around" w:vAnchor="page" w:hAnchor="page" w:x="1419" w:y="6408" w:anchorLock="1"/>
        <w:ind w:left="-1418"/>
      </w:pPr>
    </w:p>
    <w:p>
      <w:pPr>
        <w:pStyle w:val="12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food safety</w:t>
      </w:r>
      <w:r>
        <w:rPr>
          <w:rFonts w:hint="eastAsia" w:eastAsia="黑体"/>
          <w:szCs w:val="28"/>
        </w:rPr>
        <w:t xml:space="preserve"> </w:t>
      </w:r>
      <w:r>
        <w:rPr>
          <w:rFonts w:eastAsia="黑体"/>
          <w:szCs w:val="28"/>
        </w:rPr>
        <w:t>director</w:t>
      </w:r>
      <w:r>
        <w:rPr>
          <w:rFonts w:hint="eastAsia" w:eastAsia="黑体"/>
          <w:szCs w:val="28"/>
          <w:lang w:val="en-US" w:eastAsia="zh-CN"/>
        </w:rPr>
        <w:t xml:space="preserve"> system implementation guideline</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8"/>
        <w:framePr w:w="9639" w:h="6974" w:hRule="exact" w:wrap="around" w:vAnchor="page" w:hAnchor="page" w:x="1419" w:y="6408" w:anchorLock="1"/>
        <w:textAlignment w:val="bottom"/>
        <w:rPr>
          <w:rFonts w:eastAsia="黑体"/>
          <w:szCs w:val="28"/>
        </w:rPr>
      </w:pPr>
    </w:p>
    <w:p>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8"/>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6"/>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202</w:t>
      </w:r>
      <w:r>
        <w:rPr>
          <w:rFonts w:hint="eastAsia" w:ascii="黑体"/>
        </w:rPr>
        <w:t>4</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hint="eastAsia"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hint="eastAsia" w:ascii="黑体"/>
        </w:rPr>
        <w:t>XX</w:t>
      </w:r>
      <w:r>
        <w:rPr>
          <w:rFonts w:ascii="黑体"/>
        </w:rPr>
        <w:fldChar w:fldCharType="end"/>
      </w:r>
      <w:bookmarkEnd w:id="16"/>
      <w:r>
        <w:rPr>
          <w:rFonts w:hint="eastAsia"/>
        </w:rPr>
        <w:t>发布</w:t>
      </w:r>
    </w:p>
    <w:p>
      <w:pPr>
        <w:pStyle w:val="197"/>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2024</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4"/>
        <w:framePr w:h="584" w:hRule="exact" w:hSpace="181" w:vSpace="181"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20"/>
      <w:r>
        <w:rPr>
          <w:rFonts w:ascii="Times New Roman"/>
          <w:w w:val="100"/>
          <w:sz w:val="28"/>
        </w:rPr>
        <w:t>  </w:t>
      </w:r>
      <w:r>
        <w:rPr>
          <w:rStyle w:val="232"/>
          <w:rFonts w:hint="eastAsia" w:hAnsi="黑体"/>
          <w:position w:val="0"/>
        </w:rPr>
        <w:t>发</w:t>
      </w:r>
      <w:r>
        <w:rPr>
          <w:rStyle w:val="232"/>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pPr>
        <w:pStyle w:val="94"/>
        <w:spacing w:after="468"/>
      </w:pPr>
      <w:bookmarkStart w:id="21" w:name="BookMark1"/>
      <w:bookmarkStart w:id="22" w:name="_Toc165900235"/>
      <w:r>
        <w:rPr>
          <w:rFonts w:hint="eastAsia"/>
          <w:spacing w:val="320"/>
        </w:rPr>
        <w:t>目</w:t>
      </w:r>
      <w:r>
        <w:rPr>
          <w:rFonts w:hint="eastAsia"/>
        </w:rPr>
        <w:t>次</w:t>
      </w:r>
    </w:p>
    <w:p>
      <w:pPr>
        <w:pStyle w:val="21"/>
        <w:tabs>
          <w:tab w:val="right" w:leader="dot" w:pos="9344"/>
        </w:tabs>
        <w:rPr>
          <w:rFonts w:asciiTheme="minorHAnsi" w:hAnsiTheme="minorHAnsi" w:eastAsiaTheme="minorEastAsia" w:cstheme="minorBidi"/>
          <w:szCs w:val="22"/>
        </w:rPr>
      </w:pPr>
      <w:r>
        <w:fldChar w:fldCharType="begin"/>
      </w:r>
      <w:r>
        <w:instrText xml:space="preserve"> TOC \o "1-1" \h </w:instrText>
      </w:r>
      <w:r>
        <w:fldChar w:fldCharType="separate"/>
      </w:r>
      <w:r>
        <w:fldChar w:fldCharType="begin"/>
      </w:r>
      <w:r>
        <w:instrText xml:space="preserve"> HYPERLINK \l "_Toc165900276" </w:instrText>
      </w:r>
      <w:r>
        <w:fldChar w:fldCharType="separate"/>
      </w:r>
      <w:r>
        <w:rPr>
          <w:rStyle w:val="35"/>
        </w:rPr>
        <w:t>前言</w:t>
      </w:r>
      <w:r>
        <w:tab/>
      </w:r>
      <w:r>
        <w:fldChar w:fldCharType="begin"/>
      </w:r>
      <w:r>
        <w:instrText xml:space="preserve"> PAGEREF _Toc165900276 \h </w:instrText>
      </w:r>
      <w:r>
        <w:fldChar w:fldCharType="separate"/>
      </w:r>
      <w:r>
        <w:t>II</w:t>
      </w:r>
      <w:r>
        <w:fldChar w:fldCharType="end"/>
      </w:r>
      <w:r>
        <w:fldChar w:fldCharType="end"/>
      </w:r>
      <w:r>
        <w:fldChar w:fldCharType="begin"/>
      </w:r>
      <w:r>
        <w:instrText xml:space="preserve"> HYPERLINK \l "_Toc165900277" </w:instrText>
      </w:r>
      <w:r>
        <w:fldChar w:fldCharType="separate"/>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"_Toc165900278" </w:instrText>
      </w:r>
      <w:r>
        <w:fldChar w:fldCharType="separate"/>
      </w:r>
      <w:r>
        <w:rPr>
          <w:rStyle w:val="35"/>
        </w:rPr>
        <w:t>1  范围</w:t>
      </w:r>
      <w:r>
        <w:tab/>
      </w:r>
      <w:r>
        <w:fldChar w:fldCharType="begin"/>
      </w:r>
      <w:r>
        <w:instrText xml:space="preserve"> PAGEREF _Toc165900278 \h </w:instrText>
      </w:r>
      <w:r>
        <w:fldChar w:fldCharType="separate"/>
      </w:r>
      <w:r>
        <w:t>1</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"_Toc165900279" </w:instrText>
      </w:r>
      <w:r>
        <w:fldChar w:fldCharType="separate"/>
      </w:r>
      <w:r>
        <w:rPr>
          <w:rStyle w:val="35"/>
        </w:rPr>
        <w:t>2  规范性引用文件</w:t>
      </w:r>
      <w:r>
        <w:tab/>
      </w:r>
      <w:r>
        <w:fldChar w:fldCharType="begin"/>
      </w:r>
      <w:r>
        <w:instrText xml:space="preserve"> PAGEREF _Toc165900279 \h </w:instrText>
      </w:r>
      <w:r>
        <w:fldChar w:fldCharType="separate"/>
      </w:r>
      <w:r>
        <w:t>1</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"_Toc165900280" </w:instrText>
      </w:r>
      <w:r>
        <w:fldChar w:fldCharType="separate"/>
      </w:r>
      <w:r>
        <w:rPr>
          <w:rStyle w:val="35"/>
        </w:rPr>
        <w:t>3  术语和定义</w:t>
      </w:r>
      <w:r>
        <w:tab/>
      </w:r>
      <w:r>
        <w:fldChar w:fldCharType="begin"/>
      </w:r>
      <w:r>
        <w:instrText xml:space="preserve"> PAGEREF _Toc165900280 \h </w:instrText>
      </w:r>
      <w:r>
        <w:fldChar w:fldCharType="separate"/>
      </w:r>
      <w:r>
        <w:t>1</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"_Toc165900282" </w:instrText>
      </w:r>
      <w:r>
        <w:fldChar w:fldCharType="separate"/>
      </w:r>
      <w:r>
        <w:rPr>
          <w:rStyle w:val="35"/>
          <w:rFonts w:hint="eastAsia"/>
        </w:rPr>
        <w:t>4</w:t>
      </w:r>
      <w:r>
        <w:rPr>
          <w:rStyle w:val="35"/>
        </w:rPr>
        <w:t xml:space="preserve">  任职条件</w:t>
      </w:r>
      <w:r>
        <w:tab/>
      </w:r>
      <w:r>
        <w:rPr>
          <w:rFonts w:hint="eastAsia"/>
        </w:rPr>
        <w:t>1</w:t>
      </w:r>
      <w:r>
        <w:rPr>
          <w:rFonts w:hint="eastAsia"/>
        </w:rP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"_Toc165900283" </w:instrText>
      </w:r>
      <w:r>
        <w:fldChar w:fldCharType="separate"/>
      </w:r>
      <w:r>
        <w:rPr>
          <w:rStyle w:val="35"/>
          <w:rFonts w:hint="eastAsia"/>
        </w:rPr>
        <w:t>5</w:t>
      </w:r>
      <w:r>
        <w:rPr>
          <w:rStyle w:val="35"/>
        </w:rPr>
        <w:t xml:space="preserve">  岗位权限与职责</w:t>
      </w:r>
      <w:r>
        <w:tab/>
      </w:r>
      <w:r>
        <w:rPr>
          <w:rFonts w:hint="eastAsia"/>
          <w:lang w:val="en-US" w:eastAsia="zh-CN"/>
        </w:rPr>
        <w:t>3</w:t>
      </w:r>
      <w:r>
        <w:rPr>
          <w:rFonts w:hint="eastAsia"/>
        </w:rP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"_Toc165900284" </w:instrText>
      </w:r>
      <w:r>
        <w:fldChar w:fldCharType="separate"/>
      </w:r>
      <w:r>
        <w:rPr>
          <w:rStyle w:val="35"/>
          <w:rFonts w:hint="eastAsia"/>
        </w:rPr>
        <w:t xml:space="preserve">6 </w:t>
      </w:r>
      <w:r>
        <w:rPr>
          <w:rStyle w:val="35"/>
        </w:rPr>
        <w:t xml:space="preserve"> 履职保障</w:t>
      </w:r>
      <w:r>
        <w:tab/>
      </w:r>
      <w:r>
        <w:rPr>
          <w:rFonts w:hint="eastAsia"/>
          <w:lang w:val="en-US" w:eastAsia="zh-CN"/>
        </w:rPr>
        <w:t>4</w:t>
      </w:r>
      <w:r>
        <w:rPr>
          <w:rFonts w:hint="eastAsia"/>
        </w:rP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"_Toc165900285" </w:instrText>
      </w:r>
      <w:r>
        <w:fldChar w:fldCharType="separate"/>
      </w:r>
      <w:r>
        <w:rPr>
          <w:rStyle w:val="35"/>
          <w:rFonts w:hint="eastAsia"/>
        </w:rPr>
        <w:t>7</w:t>
      </w:r>
      <w:r>
        <w:rPr>
          <w:rStyle w:val="35"/>
        </w:rPr>
        <w:t xml:space="preserve">  履职评价</w:t>
      </w:r>
      <w:r>
        <w:tab/>
      </w:r>
      <w:r>
        <w:rPr>
          <w:rFonts w:hint="eastAsia"/>
          <w:lang w:val="en-US" w:eastAsia="zh-CN"/>
        </w:rPr>
        <w:t>4</w:t>
      </w:r>
      <w:r>
        <w:rPr>
          <w:rFonts w:hint="eastAsia"/>
        </w:rP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"_Toc165900286" </w:instrText>
      </w:r>
      <w:r>
        <w:fldChar w:fldCharType="separate"/>
      </w:r>
      <w:r>
        <w:rPr>
          <w:rStyle w:val="35"/>
          <w:rFonts w:hint="eastAsia"/>
        </w:rPr>
        <w:t>8</w:t>
      </w:r>
      <w:r>
        <w:rPr>
          <w:rStyle w:val="35"/>
        </w:rPr>
        <w:t xml:space="preserve">  档案管理</w:t>
      </w:r>
      <w:r>
        <w:tab/>
      </w:r>
      <w:r>
        <w:rPr>
          <w:rFonts w:hint="eastAsia"/>
          <w:lang w:val="en-US" w:eastAsia="zh-CN"/>
        </w:rPr>
        <w:t>4</w:t>
      </w:r>
      <w:r>
        <w:rPr>
          <w:rFonts w:hint="eastAsia"/>
        </w:rP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"_Toc165900288" </w:instrText>
      </w:r>
      <w:r>
        <w:fldChar w:fldCharType="separate"/>
      </w:r>
      <w:r>
        <w:rPr>
          <w:rStyle w:val="35"/>
        </w:rPr>
        <w:t>附录A（</w:t>
      </w:r>
      <w:r>
        <w:rPr>
          <w:rStyle w:val="35"/>
          <w:rFonts w:hint="eastAsia"/>
        </w:rPr>
        <w:t>资料</w:t>
      </w:r>
      <w:r>
        <w:rPr>
          <w:rStyle w:val="35"/>
        </w:rPr>
        <w:t>性）  食品生产经营主体食品安全总监履职评价体系</w:t>
      </w:r>
      <w:r>
        <w:tab/>
      </w:r>
      <w:r>
        <w:rPr>
          <w:rFonts w:hint="eastAsia"/>
          <w:lang w:val="en-US" w:eastAsia="zh-CN"/>
        </w:rPr>
        <w:t>5</w:t>
      </w:r>
      <w:r>
        <w:rPr>
          <w:rFonts w:hint="eastAsia"/>
        </w:rP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"_Toc165900290" </w:instrText>
      </w:r>
      <w:r>
        <w:fldChar w:fldCharType="separate"/>
      </w:r>
      <w:r>
        <w:rPr>
          <w:rStyle w:val="35"/>
        </w:rPr>
        <w:t>参考文献</w:t>
      </w:r>
      <w:r>
        <w:tab/>
      </w:r>
      <w:r>
        <w:rPr>
          <w:rFonts w:hint="eastAsia"/>
          <w:lang w:val="en-US" w:eastAsia="zh-CN"/>
        </w:rPr>
        <w:t>7</w:t>
      </w:r>
      <w:r>
        <w:rPr>
          <w:rFonts w:hint="eastAsia"/>
        </w:rPr>
        <w:fldChar w:fldCharType="end"/>
      </w:r>
    </w:p>
    <w:p>
      <w:pPr>
        <w:pStyle w:val="94"/>
        <w:spacing w:after="468"/>
        <w:sectPr>
          <w:headerReference r:id="rId11" w:type="default"/>
          <w:footerReference r:id="rId13" w:type="default"/>
          <w:headerReference r:id="rId12" w:type="even"/>
          <w:pgSz w:w="11906" w:h="16838"/>
          <w:pgMar w:top="2410" w:right="1134" w:bottom="1134" w:left="1134" w:header="1418" w:footer="1134" w:gutter="284"/>
          <w:pgNumType w:fmt="upperRoman" w:start="1"/>
          <w:cols w:space="425" w:num="1"/>
          <w:formProt w:val="0"/>
          <w:docGrid w:type="lines" w:linePitch="312" w:charSpace="0"/>
        </w:sectPr>
      </w:pPr>
      <w:r>
        <w:fldChar w:fldCharType="end"/>
      </w:r>
    </w:p>
    <w:bookmarkEnd w:id="21"/>
    <w:p>
      <w:pPr>
        <w:pStyle w:val="92"/>
        <w:spacing w:after="468"/>
      </w:pPr>
      <w:bookmarkStart w:id="23" w:name="_Toc165900276"/>
      <w:bookmarkStart w:id="24" w:name="BookMark2"/>
      <w:r>
        <w:rPr>
          <w:spacing w:val="320"/>
        </w:rPr>
        <w:t>前</w:t>
      </w:r>
      <w:r>
        <w:t>言</w:t>
      </w:r>
      <w:bookmarkEnd w:id="22"/>
      <w:bookmarkEnd w:id="23"/>
    </w:p>
    <w:p>
      <w:pPr>
        <w:pStyle w:val="59"/>
        <w:ind w:firstLine="420"/>
      </w:pPr>
      <w:r>
        <w:rPr>
          <w:rFonts w:hint="eastAsia"/>
        </w:rPr>
        <w:t>本文件按照GB/T 1.1—2020《标准化工作导则  第1部分：标准化文件的结构和起草规则》的规定起草。</w:t>
      </w:r>
    </w:p>
    <w:p>
      <w:pPr>
        <w:pStyle w:val="59"/>
        <w:ind w:firstLine="420"/>
        <w:rPr>
          <w:color w:val="auto"/>
        </w:rPr>
      </w:pPr>
      <w:r>
        <w:rPr>
          <w:rFonts w:hint="eastAsia"/>
          <w:color w:val="auto"/>
        </w:rPr>
        <w:t>请注意本文件的某些内容可能涉及专利。本文件的发布机构不承担识别专利的责任。</w:t>
      </w:r>
    </w:p>
    <w:p>
      <w:pPr>
        <w:pStyle w:val="59"/>
        <w:ind w:firstLine="420"/>
        <w:rPr>
          <w:color w:val="auto"/>
        </w:rPr>
      </w:pPr>
      <w:r>
        <w:rPr>
          <w:rFonts w:hint="eastAsia"/>
          <w:color w:val="auto"/>
        </w:rPr>
        <w:t>本文件由江苏省市场监督管理局提出并归口。</w:t>
      </w:r>
    </w:p>
    <w:p>
      <w:pPr>
        <w:pStyle w:val="59"/>
        <w:ind w:firstLine="420"/>
      </w:pPr>
      <w:r>
        <w:rPr>
          <w:rFonts w:hint="eastAsia"/>
          <w:color w:val="auto"/>
        </w:rPr>
        <w:t>本文件起草单位：南通市市场监督管理局、</w:t>
      </w:r>
      <w:r>
        <w:rPr>
          <w:rFonts w:hint="eastAsia"/>
        </w:rPr>
        <w:t>南通市食品安全协会、江苏权正检验检测有限公司、南通市质量技术和标准化中心、南通市标准化协会、江苏省质量和标准化研究院、南通励成生物工程有限公司、南通农副产品物流有限公司。</w:t>
      </w:r>
    </w:p>
    <w:p>
      <w:pPr>
        <w:pStyle w:val="59"/>
        <w:ind w:firstLine="420"/>
      </w:pPr>
      <w:r>
        <w:rPr>
          <w:rFonts w:hint="eastAsia"/>
        </w:rPr>
        <w:t>本文件主要起草人：徐加明、周鸣镝、徐冀辉、付景、郁卫丰、贾雅、张荣荣、秦强、朱慧玲、潘欣、朱华。</w:t>
      </w:r>
    </w:p>
    <w:p>
      <w:pPr>
        <w:pStyle w:val="59"/>
        <w:ind w:firstLine="420"/>
        <w:sectPr>
          <w:pgSz w:w="11906" w:h="16838"/>
          <w:pgMar w:top="2410" w:right="1134" w:bottom="1134" w:left="1134" w:header="1418" w:footer="1134" w:gutter="284"/>
          <w:pgNumType w:fmt="upperRoman"/>
          <w:cols w:space="425" w:num="1"/>
          <w:formProt w:val="0"/>
          <w:docGrid w:type="lines" w:linePitch="312" w:charSpace="0"/>
        </w:sectPr>
      </w:pPr>
    </w:p>
    <w:bookmarkEnd w:id="24"/>
    <w:p>
      <w:pPr>
        <w:spacing w:line="20" w:lineRule="exact"/>
        <w:jc w:val="center"/>
        <w:rPr>
          <w:rFonts w:ascii="黑体" w:hAnsi="黑体" w:eastAsia="黑体"/>
          <w:sz w:val="32"/>
          <w:szCs w:val="32"/>
        </w:rPr>
      </w:pPr>
      <w:bookmarkStart w:id="25" w:name="BookMark4"/>
    </w:p>
    <w:p>
      <w:pPr>
        <w:spacing w:line="20" w:lineRule="exact"/>
        <w:jc w:val="center"/>
        <w:rPr>
          <w:rFonts w:ascii="黑体" w:hAnsi="黑体" w:eastAsia="黑体"/>
          <w:sz w:val="32"/>
          <w:szCs w:val="32"/>
        </w:rPr>
      </w:pPr>
    </w:p>
    <w:sdt>
      <w:sdtPr>
        <w:tag w:val="NEW_STAND_NAME"/>
        <w:id w:val="595910757"/>
        <w:lock w:val="sdtLocked"/>
        <w:placeholder>
          <w:docPart w:val="D693EC90224E4EC1BF45BB299903AA0D"/>
        </w:placeholder>
      </w:sdtPr>
      <w:sdtContent>
        <w:p>
          <w:pPr>
            <w:pStyle w:val="180"/>
            <w:spacing w:beforeLines="1" w:afterLines="220"/>
          </w:pPr>
          <w:bookmarkStart w:id="26" w:name="NEW_STAND_NAME"/>
          <w:r>
            <w:rPr>
              <w:rFonts w:hint="eastAsia"/>
            </w:rPr>
            <w:t>食品安全总监制度实施指南</w:t>
          </w:r>
        </w:p>
      </w:sdtContent>
    </w:sdt>
    <w:bookmarkEnd w:id="26"/>
    <w:p>
      <w:pPr>
        <w:pStyle w:val="107"/>
        <w:spacing w:before="312" w:after="312"/>
      </w:pPr>
      <w:bookmarkStart w:id="27" w:name="_Toc26718930"/>
      <w:bookmarkStart w:id="28" w:name="_Toc17233325"/>
      <w:bookmarkStart w:id="29" w:name="_Toc165900237"/>
      <w:bookmarkStart w:id="30" w:name="_Toc24884211"/>
      <w:bookmarkStart w:id="31" w:name="_Toc26648465"/>
      <w:bookmarkStart w:id="32" w:name="_Toc26986530"/>
      <w:bookmarkStart w:id="33" w:name="_Toc26986771"/>
      <w:bookmarkStart w:id="34" w:name="_Toc24884218"/>
      <w:bookmarkStart w:id="35" w:name="_Toc165900278"/>
      <w:bookmarkStart w:id="36" w:name="_Toc17233333"/>
      <w:r>
        <w:rPr>
          <w:rFonts w:hint="eastAsia"/>
        </w:rPr>
        <w:t>范围</w:t>
      </w:r>
      <w:bookmarkEnd w:id="27"/>
      <w:bookmarkEnd w:id="28"/>
      <w:bookmarkEnd w:id="29"/>
      <w:bookmarkEnd w:id="30"/>
      <w:bookmarkEnd w:id="31"/>
      <w:bookmarkEnd w:id="32"/>
      <w:bookmarkEnd w:id="33"/>
      <w:bookmarkEnd w:id="34"/>
      <w:bookmarkEnd w:id="35"/>
      <w:bookmarkEnd w:id="36"/>
    </w:p>
    <w:p>
      <w:pPr>
        <w:pStyle w:val="59"/>
        <w:ind w:firstLine="420"/>
        <w:rPr>
          <w:color w:val="000000" w:themeColor="text1"/>
          <w14:textFill>
            <w14:solidFill>
              <w14:schemeClr w14:val="tx1"/>
            </w14:solidFill>
          </w14:textFill>
        </w:rPr>
      </w:pPr>
      <w:bookmarkStart w:id="37" w:name="_Toc17233334"/>
      <w:bookmarkStart w:id="38" w:name="_Toc26648466"/>
      <w:bookmarkStart w:id="39" w:name="_Toc24884219"/>
      <w:bookmarkStart w:id="40" w:name="_Toc17233326"/>
      <w:bookmarkStart w:id="41" w:name="_Toc24884212"/>
      <w:r>
        <w:rPr>
          <w:rFonts w:hint="eastAsia"/>
        </w:rPr>
        <w:t>本文件</w:t>
      </w:r>
      <w:r>
        <w:rPr>
          <w:rFonts w:hint="eastAsia"/>
          <w:color w:val="000000" w:themeColor="text1"/>
          <w14:textFill>
            <w14:solidFill>
              <w14:schemeClr w14:val="tx1"/>
            </w14:solidFill>
          </w14:textFill>
        </w:rPr>
        <w:t>提供了食品安全总监的任职条件、岗位权限与职责、履职保障、履职评价和档案管理的建议。</w:t>
      </w:r>
    </w:p>
    <w:p>
      <w:pPr>
        <w:pStyle w:val="59"/>
        <w:ind w:firstLine="420"/>
      </w:pPr>
      <w:r>
        <w:rPr>
          <w:rFonts w:hint="eastAsia"/>
        </w:rPr>
        <w:t>本文件适用于</w:t>
      </w:r>
      <w:r>
        <w:rPr>
          <w:rFonts w:hint="eastAsia"/>
          <w:lang w:eastAsia="zh-CN"/>
        </w:rPr>
        <w:t>江苏省范围内</w:t>
      </w:r>
      <w:r>
        <w:rPr>
          <w:rFonts w:hint="eastAsia"/>
        </w:rPr>
        <w:t>特殊食品生产企业、大中型食品生产企业、大中型餐饮服务企业、连锁餐饮企业总部、大中型食品销售企业、连锁销售企业总部、用餐人数300人以上的托幼机构食堂、用餐人数500人以上的学校食堂、用餐人数或者供餐人数超过1000人的食品生产经营主体以及食用农产品集中交易市场。其他各类食品生产经营主体可以参照执行。</w:t>
      </w:r>
    </w:p>
    <w:p>
      <w:pPr>
        <w:pStyle w:val="107"/>
        <w:spacing w:before="312" w:after="312"/>
      </w:pPr>
      <w:bookmarkStart w:id="42" w:name="_Toc26986531"/>
      <w:bookmarkStart w:id="43" w:name="_Toc26718931"/>
      <w:bookmarkStart w:id="44" w:name="_Toc26986772"/>
      <w:bookmarkStart w:id="45" w:name="_Toc165900279"/>
      <w:bookmarkStart w:id="46" w:name="_Toc165900238"/>
      <w:r>
        <w:rPr>
          <w:rFonts w:hint="eastAsia"/>
        </w:rPr>
        <w:t>规范性引用文件</w:t>
      </w:r>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0E09D6B83E1C4D42A8C0AC995179E8C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9"/>
            <w:ind w:firstLine="420"/>
          </w:pPr>
          <w:r>
            <w:rPr>
              <w:rFonts w:hint="eastAsia"/>
            </w:rPr>
            <w:t>本文件没有规范性引用文件。</w:t>
          </w:r>
        </w:p>
      </w:sdtContent>
    </w:sdt>
    <w:p>
      <w:pPr>
        <w:pStyle w:val="107"/>
        <w:spacing w:before="312" w:after="312"/>
      </w:pPr>
      <w:bookmarkStart w:id="47" w:name="_Toc165900239"/>
      <w:bookmarkStart w:id="48" w:name="_Toc165900280"/>
      <w:r>
        <w:rPr>
          <w:rFonts w:hint="eastAsia"/>
          <w:szCs w:val="21"/>
        </w:rPr>
        <w:t>术语和定义</w:t>
      </w:r>
      <w:bookmarkEnd w:id="47"/>
      <w:bookmarkEnd w:id="48"/>
    </w:p>
    <w:sdt>
      <w:sdtPr>
        <w:id w:val="-1909835108"/>
        <w:placeholder>
          <w:docPart w:val="59D592C9225D4CFF8BCF09215A78E1C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9"/>
            <w:ind w:firstLine="420"/>
          </w:pPr>
          <w:bookmarkStart w:id="49" w:name="_Toc26986532"/>
          <w:bookmarkEnd w:id="49"/>
          <w:r>
            <w:rPr>
              <w:rFonts w:hint="eastAsia"/>
            </w:rPr>
            <w:t>下列术语和定义适用于本文件。</w:t>
          </w:r>
        </w:p>
      </w:sdtContent>
    </w:sdt>
    <w:p>
      <w:pPr>
        <w:pStyle w:val="226"/>
        <w:numPr>
          <w:ilvl w:val="2"/>
          <w:numId w:val="0"/>
        </w:numPr>
        <w:rPr>
          <w:rFonts w:ascii="黑体" w:hAnsi="黑体" w:eastAsia="黑体"/>
        </w:rPr>
      </w:pPr>
      <w:r>
        <w:rPr>
          <w:rFonts w:hint="eastAsia" w:ascii="黑体" w:hAnsi="黑体" w:eastAsia="黑体"/>
          <w:lang w:val="en-US" w:eastAsia="zh-CN"/>
        </w:rPr>
        <w:t>3.1</w:t>
      </w:r>
      <w:r>
        <w:rPr>
          <w:rFonts w:ascii="黑体" w:hAnsi="黑体" w:eastAsia="黑体"/>
        </w:rPr>
        <w:br w:type="textWrapping"/>
      </w:r>
      <w:r>
        <w:rPr>
          <w:rFonts w:hint="eastAsia" w:ascii="黑体" w:hAnsi="黑体" w:eastAsia="黑体"/>
          <w:lang w:val="en-US" w:eastAsia="zh-CN"/>
        </w:rPr>
        <w:t xml:space="preserve">    </w:t>
      </w:r>
      <w:r>
        <w:rPr>
          <w:rFonts w:hint="eastAsia" w:ascii="黑体" w:hAnsi="黑体" w:eastAsia="黑体"/>
        </w:rPr>
        <w:t>食品安全总监 food safety director</w:t>
      </w:r>
    </w:p>
    <w:p>
      <w:pPr>
        <w:pStyle w:val="59"/>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食品生产经营主体的</w:t>
      </w:r>
      <w:r>
        <w:rPr>
          <w:color w:val="000000" w:themeColor="text1"/>
          <w14:textFill>
            <w14:solidFill>
              <w14:schemeClr w14:val="tx1"/>
            </w14:solidFill>
          </w14:textFill>
        </w:rPr>
        <w:t>管理层中负责食品安全的管理人员</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按照职责要求直接对本企业主要负责人负责，协助主要负责人做好食品安全管理工作</w:t>
      </w:r>
      <w:r>
        <w:rPr>
          <w:rFonts w:hint="eastAsia"/>
          <w:color w:val="000000" w:themeColor="text1"/>
          <w14:textFill>
            <w14:solidFill>
              <w14:schemeClr w14:val="tx1"/>
            </w14:solidFill>
          </w14:textFill>
        </w:rPr>
        <w:t>。</w:t>
      </w:r>
    </w:p>
    <w:p>
      <w:pPr>
        <w:pStyle w:val="226"/>
        <w:numPr>
          <w:ilvl w:val="2"/>
          <w:numId w:val="0"/>
        </w:numPr>
        <w:ind w:left="420" w:hanging="420" w:hangingChars="200"/>
        <w:rPr>
          <w:rFonts w:ascii="黑体" w:hAnsi="黑体" w:eastAsia="黑体"/>
        </w:rPr>
      </w:pPr>
      <w:r>
        <w:rPr>
          <w:rFonts w:hint="eastAsia" w:ascii="黑体" w:hAnsi="黑体" w:eastAsia="黑体"/>
          <w:lang w:val="en-US" w:eastAsia="zh-CN"/>
        </w:rPr>
        <w:t>3.2</w:t>
      </w:r>
      <w:r>
        <w:rPr>
          <w:rFonts w:ascii="黑体" w:hAnsi="黑体" w:eastAsia="黑体"/>
        </w:rPr>
        <w:br w:type="textWrapping"/>
      </w:r>
      <w:r>
        <w:rPr>
          <w:rFonts w:hint="eastAsia" w:ascii="黑体" w:hAnsi="黑体" w:eastAsia="黑体"/>
        </w:rPr>
        <w:t>食品安全员 food safety officer</w:t>
      </w:r>
    </w:p>
    <w:p>
      <w:pPr>
        <w:pStyle w:val="59"/>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食品生产经营主体内部</w:t>
      </w:r>
      <w:r>
        <w:rPr>
          <w:color w:val="000000" w:themeColor="text1"/>
          <w14:textFill>
            <w14:solidFill>
              <w14:schemeClr w14:val="tx1"/>
            </w14:solidFill>
          </w14:textFill>
        </w:rPr>
        <w:t>具体负责食品安全的管理人员</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按照职责要求对食品安全总监或者企业主要负责人负责，从事食品安全管理具体工作</w:t>
      </w:r>
      <w:r>
        <w:rPr>
          <w:rFonts w:hint="eastAsia"/>
          <w:color w:val="000000" w:themeColor="text1"/>
          <w14:textFill>
            <w14:solidFill>
              <w14:schemeClr w14:val="tx1"/>
            </w14:solidFill>
          </w14:textFill>
        </w:rPr>
        <w:t>。</w:t>
      </w:r>
    </w:p>
    <w:p>
      <w:pPr>
        <w:pStyle w:val="226"/>
        <w:numPr>
          <w:ilvl w:val="2"/>
          <w:numId w:val="0"/>
        </w:numPr>
        <w:ind w:left="420" w:hanging="420" w:hangingChars="200"/>
        <w:rPr>
          <w:rFonts w:ascii="黑体" w:hAnsi="黑体" w:eastAsia="黑体"/>
        </w:rPr>
      </w:pPr>
      <w:r>
        <w:rPr>
          <w:rFonts w:hint="eastAsia" w:ascii="黑体" w:hAnsi="黑体" w:eastAsia="黑体"/>
          <w:lang w:val="en-US" w:eastAsia="zh-CN"/>
        </w:rPr>
        <w:t>3.3</w:t>
      </w:r>
      <w:r>
        <w:rPr>
          <w:rFonts w:ascii="黑体" w:hAnsi="黑体" w:eastAsia="黑体"/>
        </w:rPr>
        <w:br w:type="textWrapping"/>
      </w:r>
      <w:r>
        <w:rPr>
          <w:rFonts w:hint="eastAsia" w:ascii="黑体" w:hAnsi="黑体" w:eastAsia="黑体"/>
        </w:rPr>
        <w:t>食品安全总监制度 food safety director system</w:t>
      </w:r>
    </w:p>
    <w:p>
      <w:pPr>
        <w:pStyle w:val="59"/>
        <w:ind w:firstLine="420"/>
        <w:rPr>
          <w:rFonts w:hint="eastAsia" w:eastAsia="宋体"/>
          <w:color w:val="0000FF"/>
          <w:lang w:eastAsia="zh-CN"/>
        </w:rPr>
      </w:pPr>
      <w:r>
        <w:rPr>
          <w:rFonts w:hint="eastAsia"/>
        </w:rPr>
        <w:t>食品生产经营主体设置食品安全总监岗位，书面授权食品安全总监负责食品安全管理工作的一项管理</w:t>
      </w:r>
      <w:r>
        <w:rPr>
          <w:rFonts w:hint="eastAsia"/>
          <w:lang w:eastAsia="zh-CN"/>
        </w:rPr>
        <w:t>规程</w:t>
      </w:r>
      <w:r>
        <w:rPr>
          <w:rFonts w:hint="eastAsia"/>
        </w:rPr>
        <w:t>。</w:t>
      </w:r>
    </w:p>
    <w:p>
      <w:pPr>
        <w:pStyle w:val="59"/>
        <w:ind w:firstLine="420"/>
        <w:rPr>
          <w:color w:val="FF0000"/>
        </w:rPr>
      </w:pPr>
    </w:p>
    <w:p>
      <w:pPr>
        <w:pStyle w:val="107"/>
        <w:numPr>
          <w:ilvl w:val="0"/>
          <w:numId w:val="0"/>
        </w:numPr>
        <w:spacing w:before="312" w:after="312"/>
      </w:pPr>
      <w:bookmarkStart w:id="50" w:name="_Toc165900240"/>
      <w:bookmarkStart w:id="51" w:name="_Toc165900281"/>
      <w:r>
        <w:rPr>
          <w:rFonts w:hint="eastAsia"/>
        </w:rPr>
        <w:t xml:space="preserve">4 </w:t>
      </w:r>
      <w:bookmarkEnd w:id="50"/>
      <w:bookmarkEnd w:id="51"/>
      <w:r>
        <w:rPr>
          <w:rFonts w:hint="eastAsia"/>
        </w:rPr>
        <w:t>任职条件</w:t>
      </w:r>
    </w:p>
    <w:p>
      <w:pPr>
        <w:pStyle w:val="108"/>
        <w:numPr>
          <w:ilvl w:val="0"/>
          <w:numId w:val="0"/>
        </w:numPr>
        <w:spacing w:before="156" w:after="156"/>
        <w:rPr>
          <w:rFonts w:hint="eastAsia" w:eastAsia="黑体"/>
          <w:color w:val="auto"/>
          <w:lang w:eastAsia="zh-CN"/>
        </w:rPr>
      </w:pPr>
      <w:bookmarkStart w:id="52" w:name="_Toc165900242"/>
      <w:r>
        <w:rPr>
          <w:rFonts w:hint="eastAsia"/>
          <w:color w:val="auto"/>
        </w:rPr>
        <w:t>4.1基本</w:t>
      </w:r>
      <w:bookmarkEnd w:id="52"/>
      <w:r>
        <w:rPr>
          <w:rFonts w:hint="eastAsia"/>
          <w:color w:val="auto"/>
          <w:lang w:eastAsia="zh-CN"/>
        </w:rPr>
        <w:t>条件</w:t>
      </w:r>
    </w:p>
    <w:p>
      <w:pPr>
        <w:pStyle w:val="59"/>
        <w:ind w:firstLine="420"/>
        <w:rPr>
          <w:color w:val="auto"/>
        </w:rPr>
      </w:pPr>
      <w:r>
        <w:rPr>
          <w:rFonts w:hint="eastAsia"/>
          <w:color w:val="auto"/>
          <w:lang w:val="en-US" w:eastAsia="zh-CN"/>
        </w:rPr>
        <w:t>食品安全总监任职的基本条件</w:t>
      </w:r>
      <w:r>
        <w:rPr>
          <w:rFonts w:hint="eastAsia"/>
          <w:color w:val="auto"/>
        </w:rPr>
        <w:t>包括但不限于：</w:t>
      </w:r>
    </w:p>
    <w:p>
      <w:pPr>
        <w:pStyle w:val="177"/>
        <w:rPr>
          <w:color w:val="auto"/>
          <w:szCs w:val="21"/>
        </w:rPr>
      </w:pPr>
      <w:r>
        <w:rPr>
          <w:rFonts w:hint="eastAsia" w:hAnsi="宋体"/>
          <w:color w:val="auto"/>
        </w:rPr>
        <w:t>掌握相应的食品安全法律法规和食品安全标准；</w:t>
      </w:r>
    </w:p>
    <w:p>
      <w:pPr>
        <w:pStyle w:val="177"/>
        <w:rPr>
          <w:color w:val="000000"/>
        </w:rPr>
      </w:pPr>
      <w:r>
        <w:rPr>
          <w:rFonts w:hint="eastAsia" w:hAnsi="宋体"/>
          <w:color w:val="auto"/>
        </w:rPr>
        <w:t>从事食品安全管理工作</w:t>
      </w:r>
      <w:r>
        <w:rPr>
          <w:rFonts w:hint="eastAsia"/>
          <w:color w:val="auto"/>
        </w:rPr>
        <w:t>3年以上</w:t>
      </w:r>
      <w:r>
        <w:rPr>
          <w:rFonts w:hint="eastAsia" w:hAnsi="宋体"/>
          <w:color w:val="auto"/>
        </w:rPr>
        <w:t>，</w:t>
      </w:r>
      <w:r>
        <w:rPr>
          <w:rFonts w:hint="eastAsia" w:hAnsi="宋体"/>
          <w:color w:val="000000"/>
        </w:rPr>
        <w:t>有较为丰富的实践经验；</w:t>
      </w:r>
    </w:p>
    <w:p>
      <w:pPr>
        <w:pStyle w:val="177"/>
        <w:rPr>
          <w:color w:val="000000" w:themeColor="text1"/>
          <w14:textFill>
            <w14:solidFill>
              <w14:schemeClr w14:val="tx1"/>
            </w14:solidFill>
          </w14:textFill>
        </w:rPr>
      </w:pPr>
      <w:r>
        <w:rPr>
          <w:rFonts w:hint="eastAsia" w:hAnsi="宋体"/>
          <w:color w:val="000000" w:themeColor="text1"/>
          <w14:textFill>
            <w14:solidFill>
              <w14:schemeClr w14:val="tx1"/>
            </w14:solidFill>
          </w14:textFill>
        </w:rPr>
        <w:t>具有大专及以上学历，或者中级及以上职称或同等能力；</w:t>
      </w:r>
    </w:p>
    <w:p>
      <w:pPr>
        <w:pStyle w:val="177"/>
        <w:rPr>
          <w:color w:val="000000"/>
        </w:rPr>
      </w:pPr>
      <w:r>
        <w:rPr>
          <w:rFonts w:hint="eastAsia" w:hAnsi="宋体"/>
          <w:color w:val="000000"/>
        </w:rPr>
        <w:t>经过食品安全管理人员培训并通过考核；</w:t>
      </w:r>
    </w:p>
    <w:p>
      <w:pPr>
        <w:pStyle w:val="177"/>
      </w:pPr>
      <w:r>
        <w:rPr>
          <w:rFonts w:hint="eastAsia"/>
        </w:rPr>
        <w:t>无从业禁止情形。</w:t>
      </w:r>
    </w:p>
    <w:p>
      <w:pPr>
        <w:pStyle w:val="177"/>
        <w:numPr>
          <w:ilvl w:val="0"/>
          <w:numId w:val="0"/>
        </w:numPr>
        <w:rPr>
          <w:color w:val="000000"/>
          <w:highlight w:val="yellow"/>
        </w:rPr>
      </w:pPr>
    </w:p>
    <w:p>
      <w:pPr>
        <w:pStyle w:val="177"/>
        <w:numPr>
          <w:ilvl w:val="0"/>
          <w:numId w:val="0"/>
        </w:numPr>
        <w:rPr>
          <w:rFonts w:hint="eastAsia" w:ascii="黑体" w:eastAsia="黑体"/>
          <w:lang w:eastAsia="zh-CN"/>
        </w:rPr>
      </w:pPr>
      <w:r>
        <w:rPr>
          <w:rFonts w:hint="eastAsia" w:ascii="黑体" w:eastAsia="黑体"/>
        </w:rPr>
        <w:t>4.2 通用</w:t>
      </w:r>
      <w:r>
        <w:rPr>
          <w:rFonts w:hint="eastAsia" w:ascii="黑体" w:eastAsia="黑体"/>
          <w:lang w:eastAsia="zh-CN"/>
        </w:rPr>
        <w:t>条件</w:t>
      </w:r>
    </w:p>
    <w:p>
      <w:pPr>
        <w:pStyle w:val="59"/>
        <w:ind w:left="0" w:leftChars="0" w:firstLine="420" w:firstLineChars="20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食品安全总监任职的通用条件</w:t>
      </w:r>
      <w:r>
        <w:rPr>
          <w:rFonts w:hint="eastAsia"/>
          <w:color w:val="000000" w:themeColor="text1"/>
          <w14:textFill>
            <w14:solidFill>
              <w14:schemeClr w14:val="tx1"/>
            </w14:solidFill>
          </w14:textFill>
        </w:rPr>
        <w:t>包括但不限于：</w:t>
      </w:r>
    </w:p>
    <w:p>
      <w:pPr>
        <w:pStyle w:val="177"/>
        <w:numPr>
          <w:ilvl w:val="0"/>
          <w:numId w:val="0"/>
        </w:numPr>
        <w:rPr>
          <w:rFonts w:hint="eastAsia" w:ascii="黑体" w:eastAsia="黑体"/>
        </w:rPr>
      </w:pPr>
    </w:p>
    <w:p>
      <w:pPr>
        <w:pStyle w:val="177"/>
        <w:numPr>
          <w:ilvl w:val="0"/>
          <w:numId w:val="32"/>
        </w:numPr>
        <w:ind w:left="1022"/>
      </w:pPr>
      <w:r>
        <w:rPr>
          <w:rFonts w:hint="eastAsia" w:hAnsi="宋体"/>
          <w:color w:val="000000"/>
        </w:rPr>
        <w:t>掌握落实食品安全主体责任制相关规定和要求；</w:t>
      </w:r>
    </w:p>
    <w:p>
      <w:pPr>
        <w:pStyle w:val="177"/>
        <w:numPr>
          <w:ilvl w:val="0"/>
          <w:numId w:val="32"/>
        </w:numPr>
        <w:rPr>
          <w:rFonts w:ascii="黑体" w:eastAsia="黑体"/>
          <w:color w:val="auto"/>
        </w:rPr>
      </w:pPr>
      <w:r>
        <w:rPr>
          <w:rFonts w:hint="eastAsia"/>
        </w:rPr>
        <w:t>具备制（修）订和落实食品安全管理制度的能力，具有较好的规划管理、组织协调能力及其他</w:t>
      </w:r>
      <w:r>
        <w:rPr>
          <w:rFonts w:hint="eastAsia"/>
          <w:color w:val="auto"/>
        </w:rPr>
        <w:t>应当具备的食品安全管理能力；</w:t>
      </w:r>
    </w:p>
    <w:p>
      <w:pPr>
        <w:pStyle w:val="177"/>
        <w:numPr>
          <w:ilvl w:val="0"/>
          <w:numId w:val="32"/>
        </w:numPr>
        <w:tabs>
          <w:tab w:val="left" w:pos="710"/>
        </w:tabs>
        <w:overflowPunct w:val="0"/>
        <w:snapToGrid w:val="0"/>
        <w:jc w:val="left"/>
        <w:outlineLvl w:val="1"/>
        <w:rPr>
          <w:color w:val="auto"/>
        </w:rPr>
      </w:pPr>
      <w:r>
        <w:rPr>
          <w:rFonts w:hint="eastAsia"/>
          <w:color w:val="auto"/>
        </w:rPr>
        <w:t>具备从业人员健康管理、供货者管理、进货查验、生产经营过程控制、出厂检验、</w:t>
      </w:r>
      <w:r>
        <w:rPr>
          <w:color w:val="auto"/>
        </w:rPr>
        <w:t>贮存运输管理、</w:t>
      </w:r>
      <w:r>
        <w:rPr>
          <w:rFonts w:hint="eastAsia"/>
          <w:color w:val="auto"/>
        </w:rPr>
        <w:t>环境卫生控制、有害生物防治</w:t>
      </w:r>
      <w:r>
        <w:rPr>
          <w:color w:val="auto"/>
        </w:rPr>
        <w:t>等食品安全全过程风险</w:t>
      </w:r>
      <w:r>
        <w:rPr>
          <w:rFonts w:hint="eastAsia"/>
          <w:color w:val="auto"/>
        </w:rPr>
        <w:t>管控的能力；</w:t>
      </w:r>
      <w:r>
        <w:rPr>
          <w:color w:val="auto"/>
        </w:rPr>
        <w:t xml:space="preserve"> </w:t>
      </w:r>
    </w:p>
    <w:p>
      <w:pPr>
        <w:pStyle w:val="177"/>
        <w:numPr>
          <w:ilvl w:val="0"/>
          <w:numId w:val="0"/>
        </w:numPr>
        <w:ind w:left="882" w:leftChars="270" w:hanging="315" w:hangingChars="150"/>
        <w:rPr>
          <w:color w:val="auto"/>
        </w:rPr>
      </w:pPr>
      <w:r>
        <w:rPr>
          <w:rFonts w:hint="eastAsia"/>
          <w:color w:val="auto"/>
        </w:rPr>
        <w:t>d</w:t>
      </w:r>
      <w:r>
        <w:rPr>
          <w:color w:val="auto"/>
        </w:rPr>
        <w:t>）</w:t>
      </w:r>
      <w:r>
        <w:rPr>
          <w:rFonts w:hint="eastAsia"/>
          <w:color w:val="auto"/>
          <w:lang w:val="en-US" w:eastAsia="zh-CN"/>
        </w:rPr>
        <w:t xml:space="preserve"> </w:t>
      </w:r>
      <w:r>
        <w:rPr>
          <w:rFonts w:hint="eastAsia"/>
          <w:color w:val="auto"/>
        </w:rPr>
        <w:t>具备风险管控清单制定以及落实</w:t>
      </w:r>
      <w:r>
        <w:rPr>
          <w:rFonts w:hint="eastAsia"/>
          <w:color w:val="auto"/>
          <w:lang w:eastAsia="zh-CN"/>
        </w:rPr>
        <w:t>“日管控、</w:t>
      </w:r>
      <w:r>
        <w:rPr>
          <w:rFonts w:hint="eastAsia"/>
          <w:color w:val="auto"/>
        </w:rPr>
        <w:t>周排查</w:t>
      </w:r>
      <w:r>
        <w:rPr>
          <w:rFonts w:hint="eastAsia"/>
          <w:color w:val="auto"/>
          <w:lang w:eastAsia="zh-CN"/>
        </w:rPr>
        <w:t>、月调度”</w:t>
      </w:r>
      <w:r>
        <w:rPr>
          <w:rFonts w:hint="eastAsia"/>
          <w:color w:val="auto"/>
        </w:rPr>
        <w:t>工作机制具体要求的能力；</w:t>
      </w:r>
    </w:p>
    <w:p>
      <w:pPr>
        <w:pStyle w:val="177"/>
        <w:numPr>
          <w:ilvl w:val="0"/>
          <w:numId w:val="0"/>
        </w:numPr>
        <w:tabs>
          <w:tab w:val="left" w:pos="710"/>
          <w:tab w:val="clear" w:pos="994"/>
        </w:tabs>
        <w:ind w:left="994" w:hanging="426"/>
        <w:rPr>
          <w:color w:val="auto"/>
        </w:rPr>
      </w:pPr>
      <w:r>
        <w:rPr>
          <w:rFonts w:hint="eastAsia"/>
          <w:color w:val="auto"/>
        </w:rPr>
        <w:t>e）</w:t>
      </w:r>
      <w:r>
        <w:rPr>
          <w:rFonts w:hint="eastAsia"/>
          <w:color w:val="auto"/>
          <w:lang w:val="en-US" w:eastAsia="zh-CN"/>
        </w:rPr>
        <w:t xml:space="preserve"> </w:t>
      </w:r>
      <w:r>
        <w:rPr>
          <w:rFonts w:hint="eastAsia"/>
          <w:color w:val="auto"/>
        </w:rPr>
        <w:t>具备消费者投诉处置、舆情处置</w:t>
      </w:r>
      <w:r>
        <w:rPr>
          <w:rFonts w:hint="eastAsia"/>
          <w:color w:val="auto"/>
          <w:lang w:eastAsia="zh-CN"/>
        </w:rPr>
        <w:t>和</w:t>
      </w:r>
      <w:r>
        <w:rPr>
          <w:rFonts w:hint="eastAsia"/>
          <w:color w:val="auto"/>
        </w:rPr>
        <w:t>食品安全事故（件）应急处置</w:t>
      </w:r>
      <w:r>
        <w:rPr>
          <w:rFonts w:hint="eastAsia"/>
          <w:color w:val="auto"/>
          <w:lang w:eastAsia="zh-CN"/>
        </w:rPr>
        <w:t>的</w:t>
      </w:r>
      <w:r>
        <w:rPr>
          <w:rFonts w:hint="eastAsia"/>
          <w:color w:val="auto"/>
        </w:rPr>
        <w:t>能力；</w:t>
      </w:r>
      <w:r>
        <w:rPr>
          <w:color w:val="auto"/>
        </w:rPr>
        <w:t xml:space="preserve"> </w:t>
      </w:r>
    </w:p>
    <w:p>
      <w:pPr>
        <w:pStyle w:val="177"/>
        <w:numPr>
          <w:ilvl w:val="0"/>
          <w:numId w:val="0"/>
        </w:numPr>
        <w:ind w:left="882" w:leftChars="270" w:hanging="315" w:hangingChars="150"/>
      </w:pPr>
      <w:r>
        <w:rPr>
          <w:rFonts w:hint="eastAsia"/>
          <w:color w:val="auto"/>
        </w:rPr>
        <w:t>f）</w:t>
      </w:r>
      <w:r>
        <w:rPr>
          <w:rFonts w:hint="eastAsia"/>
          <w:color w:val="auto"/>
          <w:lang w:val="en-US" w:eastAsia="zh-CN"/>
        </w:rPr>
        <w:t xml:space="preserve"> </w:t>
      </w:r>
      <w:r>
        <w:rPr>
          <w:rFonts w:hint="eastAsia"/>
          <w:color w:val="auto"/>
        </w:rPr>
        <w:t>熟悉监督检查、飞行检查、体系检查、产品质量监督抽查、食品召回相</w:t>
      </w:r>
      <w:r>
        <w:rPr>
          <w:rFonts w:hint="eastAsia"/>
        </w:rPr>
        <w:t>关要求。</w:t>
      </w:r>
    </w:p>
    <w:p>
      <w:pPr>
        <w:pStyle w:val="177"/>
        <w:numPr>
          <w:ilvl w:val="0"/>
          <w:numId w:val="0"/>
        </w:numPr>
        <w:rPr>
          <w:rFonts w:ascii="黑体" w:eastAsia="黑体"/>
        </w:rPr>
      </w:pPr>
    </w:p>
    <w:p>
      <w:pPr>
        <w:pStyle w:val="177"/>
        <w:numPr>
          <w:ilvl w:val="0"/>
          <w:numId w:val="0"/>
        </w:numPr>
        <w:rPr>
          <w:rFonts w:hint="eastAsia" w:ascii="黑体" w:eastAsia="黑体"/>
          <w:lang w:eastAsia="zh-CN"/>
        </w:rPr>
      </w:pPr>
      <w:r>
        <w:rPr>
          <w:rFonts w:hint="eastAsia" w:ascii="黑体" w:eastAsia="黑体"/>
        </w:rPr>
        <w:t>4.3 专业</w:t>
      </w:r>
      <w:r>
        <w:rPr>
          <w:rFonts w:hint="eastAsia" w:ascii="黑体" w:eastAsia="黑体"/>
          <w:lang w:eastAsia="zh-CN"/>
        </w:rPr>
        <w:t>条件</w:t>
      </w:r>
    </w:p>
    <w:p>
      <w:pPr>
        <w:pStyle w:val="177"/>
        <w:numPr>
          <w:ilvl w:val="0"/>
          <w:numId w:val="0"/>
        </w:numPr>
        <w:rPr>
          <w:rFonts w:ascii="黑体" w:eastAsia="黑体"/>
        </w:rPr>
      </w:pPr>
    </w:p>
    <w:p>
      <w:pPr>
        <w:pStyle w:val="177"/>
        <w:numPr>
          <w:ilvl w:val="0"/>
          <w:numId w:val="0"/>
        </w:numPr>
        <w:rPr>
          <w:rFonts w:ascii="黑体" w:eastAsia="黑体"/>
        </w:rPr>
      </w:pPr>
      <w:r>
        <w:rPr>
          <w:rFonts w:hint="eastAsia" w:ascii="黑体" w:eastAsia="黑体"/>
        </w:rPr>
        <w:t>4.3.1</w:t>
      </w:r>
      <w:bookmarkStart w:id="53" w:name="_Toc165900243"/>
      <w:r>
        <w:rPr>
          <w:rFonts w:hint="eastAsia" w:ascii="黑体" w:eastAsia="黑体"/>
        </w:rPr>
        <w:t>食品生产企业食品安全总监</w:t>
      </w:r>
      <w:bookmarkEnd w:id="53"/>
    </w:p>
    <w:p>
      <w:pPr>
        <w:pStyle w:val="177"/>
        <w:numPr>
          <w:ilvl w:val="0"/>
          <w:numId w:val="0"/>
        </w:numPr>
        <w:rPr>
          <w:rFonts w:ascii="黑体" w:eastAsia="黑体"/>
        </w:rPr>
      </w:pPr>
    </w:p>
    <w:p>
      <w:pPr>
        <w:pStyle w:val="177"/>
        <w:numPr>
          <w:ilvl w:val="0"/>
          <w:numId w:val="0"/>
        </w:numPr>
        <w:ind w:firstLine="630" w:firstLineChars="300"/>
        <w:rPr>
          <w:rFonts w:hint="eastAsia" w:eastAsia="宋体"/>
          <w:color w:val="FF0000"/>
          <w:lang w:eastAsia="zh-CN"/>
        </w:rPr>
      </w:pPr>
      <w:r>
        <w:rPr>
          <w:rFonts w:hint="eastAsia"/>
          <w:lang w:eastAsia="zh-CN"/>
        </w:rPr>
        <w:t>食品生产企业食品安全总监</w:t>
      </w:r>
      <w:r>
        <w:rPr>
          <w:rFonts w:hint="eastAsia"/>
          <w:lang w:val="en-US" w:eastAsia="zh-CN"/>
        </w:rPr>
        <w:t>任职的专业条件</w:t>
      </w:r>
      <w:r>
        <w:rPr>
          <w:rFonts w:hint="eastAsia"/>
          <w:lang w:eastAsia="zh-CN"/>
        </w:rPr>
        <w:t>包括但</w:t>
      </w:r>
      <w:r>
        <w:t>不限于</w:t>
      </w:r>
      <w:r>
        <w:rPr>
          <w:rFonts w:hint="eastAsia"/>
          <w:lang w:eastAsia="zh-CN"/>
        </w:rPr>
        <w:t>：</w:t>
      </w:r>
    </w:p>
    <w:p>
      <w:pPr>
        <w:pStyle w:val="177"/>
        <w:numPr>
          <w:ilvl w:val="0"/>
          <w:numId w:val="0"/>
        </w:numPr>
        <w:ind w:left="882" w:leftChars="320" w:hanging="210" w:hangingChars="100"/>
      </w:pPr>
      <w:bookmarkStart w:id="54" w:name="_Toc165900244"/>
      <w:r>
        <w:rPr>
          <w:rFonts w:hint="eastAsia"/>
        </w:rPr>
        <w:t>a) 熟悉食品生产许可相关规定和要求；</w:t>
      </w:r>
    </w:p>
    <w:p>
      <w:pPr>
        <w:pStyle w:val="177"/>
        <w:numPr>
          <w:ilvl w:val="0"/>
          <w:numId w:val="0"/>
        </w:numPr>
        <w:ind w:left="882" w:leftChars="320" w:hanging="210" w:hangingChars="100"/>
      </w:pPr>
      <w:r>
        <w:rPr>
          <w:rFonts w:hint="eastAsia"/>
        </w:rPr>
        <w:t>b）熟悉食品生产企业风险分级相关要求；</w:t>
      </w:r>
    </w:p>
    <w:p>
      <w:pPr>
        <w:pStyle w:val="177"/>
        <w:numPr>
          <w:ilvl w:val="0"/>
          <w:numId w:val="0"/>
        </w:numPr>
        <w:ind w:left="991" w:leftChars="320" w:hanging="319" w:hangingChars="152"/>
        <w:rPr>
          <w:color w:val="auto"/>
        </w:rPr>
      </w:pPr>
      <w:r>
        <w:rPr>
          <w:rFonts w:hint="eastAsia"/>
        </w:rPr>
        <w:t>c) 掌握HACCP</w:t>
      </w:r>
      <w:r>
        <w:t>危害分析与关键控制点</w:t>
      </w:r>
      <w:r>
        <w:rPr>
          <w:rFonts w:hint="eastAsia"/>
        </w:rPr>
        <w:t>管理及ISO22000食品安全质量管理体系认证基本知识，</w:t>
      </w:r>
      <w:r>
        <w:rPr>
          <w:rFonts w:hint="eastAsia"/>
          <w:color w:val="auto"/>
        </w:rPr>
        <w:t>熟悉所用原料和相关产品的工艺知识、食品安全检测的方法、原理，食品添加剂使用、过敏原控制等相关专业知识；</w:t>
      </w:r>
    </w:p>
    <w:p>
      <w:pPr>
        <w:pStyle w:val="177"/>
        <w:numPr>
          <w:ilvl w:val="0"/>
          <w:numId w:val="0"/>
        </w:numPr>
        <w:tabs>
          <w:tab w:val="left" w:pos="710"/>
          <w:tab w:val="clear" w:pos="994"/>
        </w:tabs>
        <w:ind w:firstLine="630" w:firstLineChars="300"/>
        <w:rPr>
          <w:color w:val="auto"/>
        </w:rPr>
      </w:pPr>
      <w:r>
        <w:rPr>
          <w:color w:val="auto"/>
        </w:rPr>
        <w:t>d）</w:t>
      </w:r>
      <w:r>
        <w:rPr>
          <w:rFonts w:hint="eastAsia"/>
          <w:color w:val="auto"/>
        </w:rPr>
        <w:t>掌握所生产食品的主要食品安全风险隐患；</w:t>
      </w:r>
    </w:p>
    <w:p>
      <w:pPr>
        <w:pStyle w:val="177"/>
        <w:numPr>
          <w:ilvl w:val="0"/>
          <w:numId w:val="0"/>
        </w:numPr>
        <w:tabs>
          <w:tab w:val="left" w:pos="710"/>
          <w:tab w:val="clear" w:pos="994"/>
        </w:tabs>
        <w:ind w:firstLine="630" w:firstLineChars="300"/>
        <w:rPr>
          <w:color w:val="auto"/>
        </w:rPr>
      </w:pPr>
      <w:r>
        <w:rPr>
          <w:rFonts w:hint="eastAsia"/>
          <w:color w:val="auto"/>
        </w:rPr>
        <w:t>e）熟悉食品标签标识相关规定；</w:t>
      </w:r>
    </w:p>
    <w:p>
      <w:pPr>
        <w:pStyle w:val="177"/>
        <w:numPr>
          <w:ilvl w:val="0"/>
          <w:numId w:val="0"/>
        </w:numPr>
        <w:ind w:left="840" w:leftChars="300" w:hanging="210" w:hangingChars="100"/>
        <w:rPr>
          <w:color w:val="auto"/>
        </w:rPr>
      </w:pPr>
      <w:r>
        <w:rPr>
          <w:rFonts w:hint="eastAsia"/>
          <w:color w:val="auto"/>
        </w:rPr>
        <w:t>f)</w:t>
      </w:r>
      <w:r>
        <w:rPr>
          <w:rFonts w:hint="eastAsia"/>
          <w:color w:val="auto"/>
          <w:lang w:val="en-US" w:eastAsia="zh-CN"/>
        </w:rPr>
        <w:t xml:space="preserve"> </w:t>
      </w:r>
      <w:r>
        <w:rPr>
          <w:rFonts w:hint="eastAsia"/>
          <w:color w:val="auto"/>
        </w:rPr>
        <w:t>特殊食品生产企业食品安全总监宜有三年以上从事食品或者药品生产的管理经验，了解特殊食品的营养知识、作用机理和配方原理</w:t>
      </w:r>
      <w:r>
        <w:rPr>
          <w:rFonts w:hint="eastAsia"/>
          <w:color w:val="auto"/>
          <w:lang w:eastAsia="zh-CN"/>
        </w:rPr>
        <w:t>，</w:t>
      </w:r>
      <w:r>
        <w:rPr>
          <w:rFonts w:hint="eastAsia"/>
          <w:color w:val="auto"/>
        </w:rPr>
        <w:t>熟悉特殊食品（婴幼儿配方食品、保健食品、特殊医学用途配方食品）的备案和注册要求，标签和说明书以及广告审查要求。</w:t>
      </w:r>
    </w:p>
    <w:bookmarkEnd w:id="54"/>
    <w:p>
      <w:pPr>
        <w:pStyle w:val="108"/>
        <w:numPr>
          <w:ilvl w:val="0"/>
          <w:numId w:val="0"/>
        </w:numPr>
        <w:spacing w:before="156" w:after="156"/>
        <w:ind w:left="142"/>
      </w:pPr>
      <w:bookmarkStart w:id="55" w:name="_Toc165900245"/>
      <w:r>
        <w:rPr>
          <w:rFonts w:hint="eastAsia"/>
        </w:rPr>
        <w:t>4.3.2 食品销售</w:t>
      </w:r>
      <w:r>
        <w:rPr>
          <w:rFonts w:hint="eastAsia"/>
          <w:lang w:eastAsia="zh-CN"/>
        </w:rPr>
        <w:t>企业</w:t>
      </w:r>
      <w:r>
        <w:rPr>
          <w:rFonts w:hint="eastAsia"/>
        </w:rPr>
        <w:t>食品安全总监</w:t>
      </w:r>
      <w:bookmarkEnd w:id="55"/>
    </w:p>
    <w:p>
      <w:pPr>
        <w:pStyle w:val="177"/>
        <w:numPr>
          <w:ilvl w:val="0"/>
          <w:numId w:val="0"/>
        </w:numPr>
        <w:ind w:firstLine="840" w:firstLineChars="400"/>
      </w:pPr>
      <w:r>
        <w:rPr>
          <w:rFonts w:hint="eastAsia"/>
          <w:lang w:eastAsia="zh-CN"/>
        </w:rPr>
        <w:t>食品销售企业食品安全总监</w:t>
      </w:r>
      <w:r>
        <w:rPr>
          <w:rFonts w:hint="eastAsia"/>
          <w:lang w:val="en-US" w:eastAsia="zh-CN"/>
        </w:rPr>
        <w:t>任职的专业条件</w:t>
      </w:r>
      <w:r>
        <w:rPr>
          <w:rFonts w:hint="eastAsia"/>
          <w:lang w:eastAsia="zh-CN"/>
        </w:rPr>
        <w:t>包括</w:t>
      </w:r>
      <w:r>
        <w:t>但不限于：</w:t>
      </w:r>
    </w:p>
    <w:p>
      <w:pPr>
        <w:pStyle w:val="177"/>
        <w:numPr>
          <w:ilvl w:val="0"/>
          <w:numId w:val="33"/>
        </w:numPr>
      </w:pPr>
      <w:r>
        <w:rPr>
          <w:rFonts w:hint="eastAsia"/>
        </w:rPr>
        <w:t>熟悉食品经营许可和备案管理相关规定和要求；</w:t>
      </w:r>
    </w:p>
    <w:p>
      <w:pPr>
        <w:pStyle w:val="177"/>
        <w:numPr>
          <w:ilvl w:val="0"/>
          <w:numId w:val="33"/>
        </w:numPr>
        <w:tabs>
          <w:tab w:val="left" w:pos="710"/>
          <w:tab w:val="clear" w:pos="994"/>
        </w:tabs>
        <w:rPr>
          <w:color w:val="auto"/>
        </w:rPr>
      </w:pPr>
      <w:r>
        <w:rPr>
          <w:rFonts w:hint="eastAsia"/>
          <w:color w:val="auto"/>
        </w:rPr>
        <w:t>熟悉所销售食用农产品、食品（包括散装食品、预包装食品、现场加工制作食品等）</w:t>
      </w:r>
      <w:bookmarkStart w:id="56" w:name="_Toc30592"/>
      <w:bookmarkStart w:id="57" w:name="_Toc7430"/>
      <w:bookmarkStart w:id="58" w:name="_Toc4593"/>
      <w:r>
        <w:rPr>
          <w:rFonts w:hint="eastAsia"/>
          <w:color w:val="auto"/>
        </w:rPr>
        <w:t>的主要食品安全风险隐患，掌握进货、售卖、贮存、运输等销售过程风险识别和防控要求；</w:t>
      </w:r>
    </w:p>
    <w:bookmarkEnd w:id="56"/>
    <w:bookmarkEnd w:id="57"/>
    <w:bookmarkEnd w:id="58"/>
    <w:p>
      <w:pPr>
        <w:pStyle w:val="177"/>
        <w:numPr>
          <w:ilvl w:val="0"/>
          <w:numId w:val="33"/>
        </w:numPr>
        <w:rPr>
          <w:color w:val="auto"/>
        </w:rPr>
      </w:pPr>
      <w:r>
        <w:rPr>
          <w:rFonts w:hint="eastAsia"/>
          <w:color w:val="auto"/>
        </w:rPr>
        <w:t>特殊食品销售企业食品安全总监宜熟悉本企业经营的特殊食品注册备案情况</w:t>
      </w:r>
      <w:r>
        <w:rPr>
          <w:rFonts w:hint="eastAsia"/>
          <w:color w:val="auto"/>
          <w:lang w:eastAsia="zh-CN"/>
        </w:rPr>
        <w:t>、</w:t>
      </w:r>
      <w:r>
        <w:rPr>
          <w:rFonts w:hint="eastAsia"/>
          <w:color w:val="auto"/>
        </w:rPr>
        <w:t>特殊食品特殊销售要求，以及标签和说明书、广告审查等经营过程关键风险点和控制措施；</w:t>
      </w:r>
    </w:p>
    <w:p>
      <w:pPr>
        <w:pStyle w:val="177"/>
        <w:numPr>
          <w:ilvl w:val="0"/>
          <w:numId w:val="33"/>
        </w:numPr>
        <w:rPr>
          <w:color w:val="auto"/>
        </w:rPr>
      </w:pPr>
      <w:bookmarkStart w:id="59" w:name="_Toc165900247"/>
      <w:r>
        <w:rPr>
          <w:rFonts w:hint="eastAsia"/>
          <w:color w:val="auto"/>
        </w:rPr>
        <w:t>连锁食品销售（含特殊食品）企业总部</w:t>
      </w:r>
      <w:bookmarkEnd w:id="59"/>
      <w:r>
        <w:rPr>
          <w:rFonts w:hint="eastAsia"/>
          <w:color w:val="auto"/>
        </w:rPr>
        <w:t>食品安全总监宜具备对连锁门店开展不定期督查，督促自查、督查发现问题整改，防范和消除食品安全风险隐患的能力；</w:t>
      </w:r>
    </w:p>
    <w:p>
      <w:pPr>
        <w:pStyle w:val="177"/>
        <w:numPr>
          <w:ilvl w:val="0"/>
          <w:numId w:val="33"/>
        </w:numPr>
        <w:tabs>
          <w:tab w:val="left" w:pos="710"/>
        </w:tabs>
        <w:rPr>
          <w:color w:val="auto"/>
        </w:rPr>
      </w:pPr>
      <w:r>
        <w:rPr>
          <w:rFonts w:hint="eastAsia"/>
          <w:color w:val="auto"/>
        </w:rPr>
        <w:t>食用农产品集中交易市场食品安全总监宜熟悉食用农产品产地准出和市场准入、销售者档案管理及农产品快速检测相关规定和要求。</w:t>
      </w:r>
    </w:p>
    <w:p>
      <w:pPr>
        <w:pStyle w:val="177"/>
        <w:numPr>
          <w:ilvl w:val="0"/>
          <w:numId w:val="0"/>
        </w:numPr>
        <w:ind w:left="994"/>
      </w:pPr>
    </w:p>
    <w:p>
      <w:pPr>
        <w:pStyle w:val="108"/>
        <w:numPr>
          <w:ilvl w:val="0"/>
          <w:numId w:val="0"/>
        </w:numPr>
        <w:spacing w:before="156" w:after="156"/>
        <w:ind w:left="142"/>
        <w:rPr>
          <w:color w:val="000000" w:themeColor="text1"/>
          <w14:textFill>
            <w14:solidFill>
              <w14:schemeClr w14:val="tx1"/>
            </w14:solidFill>
          </w14:textFill>
        </w:rPr>
      </w:pPr>
      <w:bookmarkStart w:id="60" w:name="_Toc165900246"/>
      <w:r>
        <w:rPr>
          <w:rFonts w:hint="eastAsia"/>
        </w:rPr>
        <w:t>4.3.3  餐饮服务</w:t>
      </w:r>
      <w:r>
        <w:rPr>
          <w:rFonts w:hint="eastAsia"/>
          <w:color w:val="000000" w:themeColor="text1"/>
          <w14:textFill>
            <w14:solidFill>
              <w14:schemeClr w14:val="tx1"/>
            </w14:solidFill>
          </w14:textFill>
        </w:rPr>
        <w:t>主体食品安全总监</w:t>
      </w:r>
      <w:bookmarkEnd w:id="60"/>
    </w:p>
    <w:p>
      <w:pPr>
        <w:pStyle w:val="177"/>
        <w:numPr>
          <w:ilvl w:val="0"/>
          <w:numId w:val="0"/>
        </w:numPr>
        <w:ind w:firstLine="840" w:firstLineChars="400"/>
        <w:rPr>
          <w:color w:val="000000" w:themeColor="text1"/>
          <w14:textFill>
            <w14:solidFill>
              <w14:schemeClr w14:val="tx1"/>
            </w14:solidFill>
          </w14:textFill>
        </w:rPr>
      </w:pPr>
      <w:r>
        <w:rPr>
          <w:rFonts w:hint="eastAsia"/>
          <w:lang w:eastAsia="zh-CN"/>
        </w:rPr>
        <w:t>餐饮服务主体食品安全总监</w:t>
      </w:r>
      <w:r>
        <w:rPr>
          <w:rFonts w:hint="eastAsia"/>
          <w:lang w:val="en-US" w:eastAsia="zh-CN"/>
        </w:rPr>
        <w:t>任职的专业条件</w:t>
      </w:r>
      <w:r>
        <w:rPr>
          <w:rFonts w:hint="eastAsia"/>
          <w:lang w:eastAsia="zh-CN"/>
        </w:rPr>
        <w:t>包括</w:t>
      </w:r>
      <w:r>
        <w:t>不限于：</w:t>
      </w:r>
    </w:p>
    <w:p>
      <w:pPr>
        <w:pStyle w:val="177"/>
        <w:numPr>
          <w:ilvl w:val="0"/>
          <w:numId w:val="34"/>
        </w:numPr>
        <w:rPr>
          <w:color w:val="auto"/>
        </w:rPr>
      </w:pPr>
      <w:r>
        <w:rPr>
          <w:rFonts w:hint="eastAsia"/>
          <w:color w:val="auto"/>
        </w:rPr>
        <w:t>熟悉食品经营许可和备案管理相关规定和要求；</w:t>
      </w:r>
    </w:p>
    <w:p>
      <w:pPr>
        <w:pStyle w:val="177"/>
        <w:numPr>
          <w:ilvl w:val="0"/>
          <w:numId w:val="34"/>
        </w:numPr>
        <w:rPr>
          <w:color w:val="auto"/>
        </w:rPr>
      </w:pPr>
      <w:r>
        <w:rPr>
          <w:rFonts w:hint="eastAsia"/>
          <w:color w:val="auto"/>
        </w:rPr>
        <w:t>掌握餐饮服务食品安全量化分级、风险分级相关要求；</w:t>
      </w:r>
    </w:p>
    <w:p>
      <w:pPr>
        <w:pStyle w:val="177"/>
        <w:numPr>
          <w:ilvl w:val="0"/>
          <w:numId w:val="34"/>
        </w:numPr>
        <w:rPr>
          <w:color w:val="auto"/>
          <w:highlight w:val="none"/>
        </w:rPr>
      </w:pPr>
      <w:r>
        <w:rPr>
          <w:rFonts w:hint="eastAsia"/>
          <w:color w:val="auto"/>
          <w:highlight w:val="none"/>
          <w:lang w:eastAsia="zh-CN"/>
        </w:rPr>
        <w:t>掌握“</w:t>
      </w:r>
      <w:r>
        <w:rPr>
          <w:rFonts w:hint="eastAsia"/>
          <w:color w:val="auto"/>
          <w:highlight w:val="none"/>
          <w:lang w:val="en-US" w:eastAsia="zh-CN"/>
        </w:rPr>
        <w:t>4D”“5C”“6T”等先进管理办法要求；</w:t>
      </w:r>
    </w:p>
    <w:p>
      <w:pPr>
        <w:pStyle w:val="177"/>
        <w:numPr>
          <w:ilvl w:val="0"/>
          <w:numId w:val="34"/>
        </w:numPr>
        <w:rPr>
          <w:color w:val="auto"/>
        </w:rPr>
      </w:pPr>
      <w:r>
        <w:rPr>
          <w:rFonts w:hint="eastAsia"/>
          <w:color w:val="auto"/>
        </w:rPr>
        <w:t>熟悉所经营主要食品安全风险隐患识别和防控要求；</w:t>
      </w:r>
    </w:p>
    <w:p>
      <w:pPr>
        <w:pStyle w:val="177"/>
        <w:numPr>
          <w:ilvl w:val="0"/>
          <w:numId w:val="34"/>
        </w:numPr>
        <w:rPr>
          <w:color w:val="auto"/>
        </w:rPr>
      </w:pPr>
      <w:r>
        <w:rPr>
          <w:rFonts w:hint="eastAsia"/>
          <w:color w:val="auto"/>
          <w:lang w:eastAsia="zh-CN"/>
        </w:rPr>
        <w:t>掌握</w:t>
      </w:r>
      <w:r>
        <w:rPr>
          <w:rFonts w:hint="eastAsia"/>
          <w:color w:val="auto"/>
        </w:rPr>
        <w:t>餐饮服务预防食物中毒</w:t>
      </w:r>
      <w:r>
        <w:rPr>
          <w:rFonts w:hint="eastAsia"/>
          <w:color w:val="auto"/>
          <w:lang w:eastAsia="zh-CN"/>
        </w:rPr>
        <w:t>要求</w:t>
      </w:r>
      <w:r>
        <w:rPr>
          <w:rFonts w:hint="eastAsia"/>
          <w:color w:val="auto"/>
        </w:rPr>
        <w:t>和餐饮服务业特定的生物性危害控制措施</w:t>
      </w:r>
      <w:r>
        <w:rPr>
          <w:rFonts w:hint="eastAsia"/>
          <w:color w:val="auto"/>
          <w:lang w:eastAsia="zh-CN"/>
        </w:rPr>
        <w:t>；</w:t>
      </w:r>
    </w:p>
    <w:p>
      <w:pPr>
        <w:pStyle w:val="177"/>
        <w:numPr>
          <w:ilvl w:val="0"/>
          <w:numId w:val="34"/>
        </w:numPr>
        <w:rPr>
          <w:color w:val="auto"/>
        </w:rPr>
      </w:pPr>
      <w:r>
        <w:rPr>
          <w:rFonts w:hint="eastAsia"/>
          <w:color w:val="auto"/>
        </w:rPr>
        <w:t>连锁餐饮企业总部食品安全总监宜具备指导所属中央厨房、配送中心及所属门店防范和消除食品安全风险隐患的能力；</w:t>
      </w:r>
    </w:p>
    <w:p>
      <w:pPr>
        <w:pStyle w:val="177"/>
        <w:numPr>
          <w:ilvl w:val="0"/>
          <w:numId w:val="34"/>
        </w:numPr>
        <w:rPr>
          <w:color w:val="auto"/>
        </w:rPr>
      </w:pPr>
      <w:r>
        <w:rPr>
          <w:rFonts w:hint="eastAsia"/>
          <w:color w:val="auto"/>
        </w:rPr>
        <w:t>中央厨房食品安全总监宜熟悉食品配送相关规定和要求，尤其是温度、时间和储运输方式等要求；</w:t>
      </w:r>
    </w:p>
    <w:p>
      <w:pPr>
        <w:pStyle w:val="177"/>
        <w:numPr>
          <w:ilvl w:val="0"/>
          <w:numId w:val="34"/>
        </w:numPr>
        <w:rPr>
          <w:color w:val="auto"/>
        </w:rPr>
      </w:pPr>
      <w:r>
        <w:rPr>
          <w:rFonts w:hint="eastAsia"/>
          <w:color w:val="auto"/>
        </w:rPr>
        <w:t>集体用餐配送单位食品安全总监宜掌握本所经营品种、单餐（班）最大生产量，以及热链工艺和冷链工艺膳食贮存和运输要求；</w:t>
      </w:r>
    </w:p>
    <w:p>
      <w:pPr>
        <w:pStyle w:val="177"/>
        <w:numPr>
          <w:ilvl w:val="0"/>
          <w:numId w:val="34"/>
        </w:numPr>
        <w:rPr>
          <w:rFonts w:hint="default" w:ascii="黑体" w:hAnsi="Times New Roman" w:eastAsia="黑体" w:cs="Times New Roman"/>
          <w:color w:val="000000" w:themeColor="text1"/>
          <w:sz w:val="21"/>
          <w:lang w:val="en-US" w:eastAsia="zh-CN" w:bidi="ar-SA"/>
          <w14:textFill>
            <w14:solidFill>
              <w14:schemeClr w14:val="tx1"/>
            </w14:solidFill>
          </w14:textFill>
        </w:rPr>
      </w:pPr>
      <w:r>
        <w:rPr>
          <w:rFonts w:hint="eastAsia"/>
          <w:color w:val="auto"/>
        </w:rPr>
        <w:t>学校食堂、养老机构食堂等集中用餐单位食堂食品安全总监</w:t>
      </w:r>
      <w:r>
        <w:rPr>
          <w:rFonts w:hint="eastAsia"/>
          <w:color w:val="auto"/>
          <w:lang w:eastAsia="zh-CN"/>
        </w:rPr>
        <w:t>宜</w:t>
      </w:r>
      <w:r>
        <w:rPr>
          <w:rFonts w:hint="eastAsia"/>
          <w:color w:val="auto"/>
        </w:rPr>
        <w:t>熟悉特定经营业态的相关管理要</w:t>
      </w:r>
      <w:r>
        <w:rPr>
          <w:rFonts w:hint="eastAsia"/>
          <w:color w:val="auto"/>
          <w:highlight w:val="none"/>
        </w:rPr>
        <w:t>求</w:t>
      </w:r>
      <w:r>
        <w:rPr>
          <w:rFonts w:hint="eastAsia"/>
          <w:color w:val="auto"/>
          <w:highlight w:val="none"/>
          <w:lang w:eastAsia="zh-CN"/>
        </w:rPr>
        <w:t>。</w:t>
      </w:r>
    </w:p>
    <w:p>
      <w:pPr>
        <w:pStyle w:val="107"/>
        <w:numPr>
          <w:ilvl w:val="0"/>
          <w:numId w:val="0"/>
        </w:numPr>
        <w:spacing w:before="312" w:after="312"/>
      </w:pPr>
      <w:bookmarkStart w:id="61" w:name="_Toc165900254"/>
      <w:bookmarkStart w:id="62" w:name="_Toc165900283"/>
      <w:r>
        <w:rPr>
          <w:rFonts w:hint="eastAsia"/>
        </w:rPr>
        <w:t>5 岗位权限与职责</w:t>
      </w:r>
      <w:bookmarkEnd w:id="61"/>
      <w:bookmarkEnd w:id="62"/>
    </w:p>
    <w:p>
      <w:pPr>
        <w:pStyle w:val="108"/>
        <w:numPr>
          <w:ilvl w:val="0"/>
          <w:numId w:val="0"/>
        </w:numPr>
        <w:spacing w:before="156" w:after="156"/>
      </w:pPr>
      <w:bookmarkStart w:id="63" w:name="_Toc165900255"/>
      <w:r>
        <w:rPr>
          <w:rFonts w:hint="eastAsia"/>
        </w:rPr>
        <w:t>5.1岗位权限</w:t>
      </w:r>
      <w:bookmarkEnd w:id="63"/>
    </w:p>
    <w:p>
      <w:pPr>
        <w:pStyle w:val="59"/>
        <w:ind w:firstLine="420"/>
        <w:rPr>
          <w:color w:val="auto"/>
        </w:rPr>
      </w:pPr>
      <w:r>
        <w:rPr>
          <w:rFonts w:hint="eastAsia"/>
          <w:color w:val="auto"/>
          <w:lang w:val="en-US" w:eastAsia="zh-CN"/>
        </w:rPr>
        <w:t>食品安全总监岗位的权限</w:t>
      </w:r>
      <w:r>
        <w:rPr>
          <w:rFonts w:hint="eastAsia"/>
          <w:color w:val="auto"/>
        </w:rPr>
        <w:t>包括但不限于：</w:t>
      </w:r>
    </w:p>
    <w:p>
      <w:pPr>
        <w:pStyle w:val="177"/>
        <w:numPr>
          <w:ilvl w:val="0"/>
          <w:numId w:val="35"/>
        </w:numPr>
      </w:pPr>
      <w:r>
        <w:rPr>
          <w:rFonts w:hint="eastAsia"/>
        </w:rPr>
        <w:t>在主体作出涉及食品安全的重大决策前，有要求主体充分听取其意见和建议的权利。在发现食品安全潜在风险时，有要求主体停止相关食品生产经营活动</w:t>
      </w:r>
      <w:r>
        <w:rPr>
          <w:rFonts w:hint="eastAsia"/>
          <w:lang w:eastAsia="zh-CN"/>
        </w:rPr>
        <w:t>、</w:t>
      </w:r>
      <w:r>
        <w:rPr>
          <w:rFonts w:hint="eastAsia"/>
        </w:rPr>
        <w:t>立即采取措施消除风险隐患的权利；对有可能影响食品安全的活动或产品有行使一票否决的权利</w:t>
      </w:r>
      <w:r>
        <w:rPr>
          <w:rFonts w:hint="eastAsia"/>
          <w:lang w:eastAsia="zh-CN"/>
        </w:rPr>
        <w:t>；</w:t>
      </w:r>
    </w:p>
    <w:p>
      <w:pPr>
        <w:pStyle w:val="177"/>
      </w:pPr>
      <w:r>
        <w:rPr>
          <w:rFonts w:hint="eastAsia"/>
        </w:rPr>
        <w:t>有调动主体人、财、物保障主体食品安全活动的权力；</w:t>
      </w:r>
    </w:p>
    <w:p>
      <w:pPr>
        <w:pStyle w:val="177"/>
      </w:pPr>
      <w:r>
        <w:rPr>
          <w:rFonts w:hint="eastAsia"/>
        </w:rPr>
        <w:t>有食品安全工作考核与奖惩权。</w:t>
      </w:r>
    </w:p>
    <w:p>
      <w:pPr>
        <w:pStyle w:val="108"/>
        <w:numPr>
          <w:ilvl w:val="0"/>
          <w:numId w:val="0"/>
        </w:numPr>
        <w:spacing w:before="156" w:after="156"/>
      </w:pPr>
      <w:bookmarkStart w:id="64" w:name="_Toc165900256"/>
      <w:r>
        <w:rPr>
          <w:rFonts w:hint="eastAsia"/>
        </w:rPr>
        <w:t>5.2 岗位职责</w:t>
      </w:r>
      <w:bookmarkEnd w:id="64"/>
    </w:p>
    <w:p>
      <w:pPr>
        <w:pStyle w:val="59"/>
        <w:ind w:firstLine="420"/>
        <w:rPr>
          <w:color w:val="auto"/>
        </w:rPr>
      </w:pPr>
      <w:r>
        <w:rPr>
          <w:rFonts w:hint="eastAsia"/>
          <w:color w:val="auto"/>
          <w:lang w:val="en-US" w:eastAsia="zh-CN"/>
        </w:rPr>
        <w:t>食品安全总监岗位的职责</w:t>
      </w:r>
      <w:r>
        <w:rPr>
          <w:rFonts w:hint="eastAsia"/>
          <w:color w:val="auto"/>
        </w:rPr>
        <w:t>包括但不限于：</w:t>
      </w:r>
    </w:p>
    <w:p>
      <w:pPr>
        <w:pStyle w:val="177"/>
        <w:numPr>
          <w:ilvl w:val="0"/>
          <w:numId w:val="36"/>
        </w:numPr>
        <w:rPr>
          <w:szCs w:val="21"/>
        </w:rPr>
      </w:pPr>
      <w:r>
        <w:rPr>
          <w:rFonts w:hint="eastAsia" w:hAnsi="宋体"/>
        </w:rPr>
        <w:t>贯彻执行国家食品安全法律法规和政策；</w:t>
      </w:r>
    </w:p>
    <w:p>
      <w:pPr>
        <w:pStyle w:val="177"/>
        <w:numPr>
          <w:ilvl w:val="0"/>
          <w:numId w:val="36"/>
        </w:numPr>
        <w:rPr>
          <w:color w:val="000000"/>
        </w:rPr>
      </w:pPr>
      <w:r>
        <w:rPr>
          <w:rFonts w:hint="eastAsia" w:hAnsi="宋体"/>
          <w:color w:val="000000"/>
        </w:rPr>
        <w:t>组织拟订食品安全管理能力提升规划；</w:t>
      </w:r>
    </w:p>
    <w:p>
      <w:pPr>
        <w:pStyle w:val="177"/>
        <w:numPr>
          <w:ilvl w:val="0"/>
          <w:numId w:val="36"/>
        </w:numPr>
        <w:rPr>
          <w:color w:val="000000"/>
        </w:rPr>
      </w:pPr>
      <w:r>
        <w:rPr>
          <w:rFonts w:hint="eastAsia" w:hAnsi="宋体"/>
          <w:color w:val="000000"/>
        </w:rPr>
        <w:t>组织拟定食品安全管理制度，明确从业人员健康管理、供货者管理、进货查验、生产经营过程控制、出厂检验、追溯体系建设、投诉举报处理等食品安全方面的责任要求；</w:t>
      </w:r>
    </w:p>
    <w:p>
      <w:pPr>
        <w:pStyle w:val="177"/>
        <w:numPr>
          <w:ilvl w:val="0"/>
          <w:numId w:val="36"/>
        </w:numPr>
        <w:rPr>
          <w:color w:val="000000"/>
        </w:rPr>
      </w:pPr>
      <w:r>
        <w:rPr>
          <w:rFonts w:hint="eastAsia" w:hAnsi="宋体"/>
          <w:color w:val="000000"/>
        </w:rPr>
        <w:t>组织拟订年度工作实施计划，负责组织落实“日管控、周排查、月调度”工作机制，督促检查食品安全员实施每日管控，</w:t>
      </w:r>
      <w:r>
        <w:rPr>
          <w:rFonts w:hAnsi="宋体"/>
          <w:bCs/>
          <w:color w:val="000000" w:themeColor="text1"/>
          <w14:textFill>
            <w14:solidFill>
              <w14:schemeClr w14:val="tx1"/>
            </w14:solidFill>
          </w14:textFill>
        </w:rPr>
        <w:t>根据《食品安全风险管控清单》进行检查，形成《每日食品安全检查记录》</w:t>
      </w:r>
      <w:r>
        <w:rPr>
          <w:rFonts w:hint="eastAsia" w:hAnsi="宋体"/>
          <w:bCs/>
          <w:color w:val="000000" w:themeColor="text1"/>
          <w14:textFill>
            <w14:solidFill>
              <w14:schemeClr w14:val="tx1"/>
            </w14:solidFill>
          </w14:textFill>
        </w:rPr>
        <w:t>，</w:t>
      </w:r>
      <w:r>
        <w:rPr>
          <w:rFonts w:hAnsi="宋体"/>
          <w:bCs/>
          <w:color w:val="000000" w:themeColor="text1"/>
          <w14:textFill>
            <w14:solidFill>
              <w14:schemeClr w14:val="tx1"/>
            </w14:solidFill>
          </w14:textFill>
        </w:rPr>
        <w:t>并</w:t>
      </w:r>
      <w:r>
        <w:rPr>
          <w:rFonts w:hint="eastAsia" w:hAnsi="宋体"/>
          <w:bCs/>
          <w:color w:val="000000" w:themeColor="text1"/>
          <w14:textFill>
            <w14:solidFill>
              <w14:schemeClr w14:val="tx1"/>
            </w14:solidFill>
          </w14:textFill>
        </w:rPr>
        <w:t>根据需要定期调整</w:t>
      </w:r>
      <w:r>
        <w:rPr>
          <w:rFonts w:hAnsi="宋体"/>
          <w:bCs/>
          <w:color w:val="000000" w:themeColor="text1"/>
          <w14:textFill>
            <w14:solidFill>
              <w14:schemeClr w14:val="tx1"/>
            </w14:solidFill>
          </w14:textFill>
        </w:rPr>
        <w:t>《食品安全风险管控清单》内容</w:t>
      </w:r>
      <w:r>
        <w:rPr>
          <w:rFonts w:hint="eastAsia" w:hAnsi="宋体"/>
          <w:bCs/>
          <w:color w:val="000000" w:themeColor="text1"/>
          <w14:textFill>
            <w14:solidFill>
              <w14:schemeClr w14:val="tx1"/>
            </w14:solidFill>
          </w14:textFill>
        </w:rPr>
        <w:t>；</w:t>
      </w:r>
      <w:r>
        <w:rPr>
          <w:rFonts w:hint="eastAsia" w:hAnsi="宋体"/>
          <w:color w:val="000000" w:themeColor="text1"/>
          <w14:textFill>
            <w14:solidFill>
              <w14:schemeClr w14:val="tx1"/>
            </w14:solidFill>
          </w14:textFill>
        </w:rPr>
        <w:t>组</w:t>
      </w:r>
      <w:r>
        <w:rPr>
          <w:rFonts w:hint="eastAsia" w:hAnsi="宋体"/>
          <w:color w:val="000000"/>
        </w:rPr>
        <w:t>织实施食品安全风险隐患每周排查，</w:t>
      </w:r>
      <w:r>
        <w:rPr>
          <w:rFonts w:hint="eastAsia" w:hAnsi="宋体"/>
          <w:color w:val="000000"/>
          <w:shd w:val="clear" w:color="auto" w:fill="FFFFFF"/>
        </w:rPr>
        <w:t>分析研判食品安全管理情况，研究解决日管控中发现的问题，形成《每周食品安全排查治理报告》</w:t>
      </w:r>
      <w:r>
        <w:rPr>
          <w:rFonts w:hint="eastAsia" w:hAnsi="宋体"/>
          <w:color w:val="000000"/>
        </w:rPr>
        <w:t>；每月至少</w:t>
      </w:r>
      <w:r>
        <w:rPr>
          <w:rFonts w:hint="eastAsia"/>
          <w:color w:val="000000"/>
        </w:rPr>
        <w:t>1次</w:t>
      </w:r>
      <w:r>
        <w:rPr>
          <w:rFonts w:hint="eastAsia" w:hAnsi="宋体"/>
          <w:color w:val="000000"/>
        </w:rPr>
        <w:t>向主体负责人汇报食品安全总监管理工作情况，对当月食品安全日常管理、风险隐患排查治理等情况进行工作总结，提出下个月重点工作调度安排建议，形成《每月食品安全调度会议纪要》；</w:t>
      </w:r>
    </w:p>
    <w:p>
      <w:pPr>
        <w:pStyle w:val="177"/>
        <w:numPr>
          <w:ilvl w:val="0"/>
          <w:numId w:val="36"/>
        </w:numPr>
        <w:rPr>
          <w:color w:val="000000"/>
        </w:rPr>
      </w:pPr>
      <w:r>
        <w:rPr>
          <w:rFonts w:hint="eastAsia" w:hAnsi="宋体"/>
          <w:color w:val="000000"/>
        </w:rPr>
        <w:t>组织拟定并督促落实食品安全风险防控措施，定期组织食品安全自查，评估食品安全状况，及时向主体主要负责人报告食品安全工作情况并提出改进措施，阻止、纠正食品安全违法行为，按照规定组织实施食品召回；</w:t>
      </w:r>
    </w:p>
    <w:p>
      <w:pPr>
        <w:pStyle w:val="177"/>
        <w:numPr>
          <w:ilvl w:val="0"/>
          <w:numId w:val="36"/>
        </w:numPr>
        <w:rPr>
          <w:color w:val="000000"/>
        </w:rPr>
      </w:pPr>
      <w:r>
        <w:rPr>
          <w:rFonts w:hint="eastAsia" w:hAnsi="宋体"/>
          <w:color w:val="000000"/>
        </w:rPr>
        <w:t>负责管理、督促、指导食品安全员按照职责做好相关工作，组织开展职工食品安全教育、培训、考核；</w:t>
      </w:r>
    </w:p>
    <w:p>
      <w:pPr>
        <w:pStyle w:val="177"/>
        <w:numPr>
          <w:ilvl w:val="0"/>
          <w:numId w:val="36"/>
        </w:numPr>
        <w:rPr>
          <w:color w:val="000000"/>
        </w:rPr>
      </w:pPr>
      <w:r>
        <w:rPr>
          <w:rFonts w:hint="eastAsia" w:hAnsi="宋体"/>
          <w:color w:val="000000"/>
        </w:rPr>
        <w:t>组织拟定食品安全事故处置方案，组织开展应急演练，落实食品安全事故报告义务，采取措施防止事故扩大；</w:t>
      </w:r>
    </w:p>
    <w:p>
      <w:pPr>
        <w:pStyle w:val="177"/>
        <w:numPr>
          <w:ilvl w:val="0"/>
          <w:numId w:val="36"/>
        </w:numPr>
      </w:pPr>
      <w:r>
        <w:rPr>
          <w:rFonts w:hint="eastAsia" w:hAnsi="宋体"/>
        </w:rPr>
        <w:t>接受和配合监督管理部门开展食品安全监督检查等工作，如实提供有关情况；</w:t>
      </w:r>
    </w:p>
    <w:p>
      <w:pPr>
        <w:pStyle w:val="177"/>
        <w:numPr>
          <w:ilvl w:val="0"/>
          <w:numId w:val="36"/>
        </w:numPr>
      </w:pPr>
      <w:r>
        <w:rPr>
          <w:rFonts w:hint="eastAsia" w:hAnsi="宋体"/>
        </w:rPr>
        <w:t>其他食品安全管理</w:t>
      </w:r>
      <w:r>
        <w:rPr>
          <w:rFonts w:hint="eastAsia" w:hAnsi="宋体"/>
          <w:lang w:eastAsia="zh-CN"/>
        </w:rPr>
        <w:t>职责</w:t>
      </w:r>
      <w:r>
        <w:rPr>
          <w:rFonts w:hint="eastAsia" w:hAnsi="宋体"/>
        </w:rPr>
        <w:t>。</w:t>
      </w:r>
    </w:p>
    <w:p>
      <w:pPr>
        <w:pStyle w:val="107"/>
        <w:numPr>
          <w:ilvl w:val="0"/>
          <w:numId w:val="0"/>
        </w:numPr>
        <w:spacing w:before="312" w:after="312"/>
      </w:pPr>
      <w:bookmarkStart w:id="65" w:name="_Toc165900284"/>
      <w:bookmarkStart w:id="66" w:name="_Toc165900257"/>
      <w:r>
        <w:rPr>
          <w:rFonts w:hint="eastAsia"/>
        </w:rPr>
        <w:t>6 履职保障</w:t>
      </w:r>
      <w:bookmarkEnd w:id="65"/>
      <w:bookmarkEnd w:id="66"/>
    </w:p>
    <w:p>
      <w:pPr>
        <w:pStyle w:val="59"/>
        <w:ind w:firstLine="420"/>
        <w:rPr>
          <w:rFonts w:hAnsi="宋体"/>
          <w:color w:val="auto"/>
        </w:rPr>
      </w:pPr>
      <w:r>
        <w:rPr>
          <w:rFonts w:hint="eastAsia" w:hAnsi="宋体"/>
          <w:color w:val="auto"/>
          <w:lang w:eastAsia="zh-CN"/>
        </w:rPr>
        <w:t>建议</w:t>
      </w:r>
      <w:r>
        <w:rPr>
          <w:rFonts w:hint="eastAsia" w:hAnsi="宋体"/>
          <w:color w:val="auto"/>
        </w:rPr>
        <w:t>食品生产经营主体设立食品安全管理机构，明确食品安全管理组织架构</w:t>
      </w:r>
      <w:r>
        <w:rPr>
          <w:rFonts w:hint="eastAsia" w:hAnsi="宋体"/>
          <w:color w:val="auto"/>
          <w:lang w:eastAsia="zh-CN"/>
        </w:rPr>
        <w:t>。</w:t>
      </w:r>
      <w:r>
        <w:rPr>
          <w:rFonts w:hint="eastAsia" w:hAnsi="宋体"/>
          <w:color w:val="auto"/>
        </w:rPr>
        <w:t>赋予食品安全总监相应的管理职权，配备相应的管理人员，</w:t>
      </w:r>
      <w:r>
        <w:rPr>
          <w:rFonts w:hint="eastAsia" w:hAnsi="宋体"/>
          <w:color w:val="auto"/>
          <w:lang w:val="en-US" w:eastAsia="zh-CN"/>
        </w:rPr>
        <w:t>并</w:t>
      </w:r>
      <w:r>
        <w:rPr>
          <w:rFonts w:hint="eastAsia" w:hAnsi="宋体"/>
          <w:color w:val="auto"/>
        </w:rPr>
        <w:t>提供必要的工作和活动经费</w:t>
      </w:r>
      <w:r>
        <w:rPr>
          <w:rFonts w:hint="eastAsia" w:hAnsi="宋体"/>
          <w:color w:val="auto"/>
          <w:lang w:eastAsia="zh-CN"/>
        </w:rPr>
        <w:t>以</w:t>
      </w:r>
      <w:r>
        <w:rPr>
          <w:rFonts w:hint="eastAsia" w:hAnsi="宋体"/>
          <w:color w:val="auto"/>
        </w:rPr>
        <w:t>保障其工作的有效开展。食品安全总监行政级别宜为所在单位最高管理层副职以上。</w:t>
      </w:r>
      <w:r>
        <w:rPr>
          <w:rFonts w:hAnsi="宋体"/>
          <w:color w:val="auto"/>
        </w:rPr>
        <w:t xml:space="preserve"> </w:t>
      </w:r>
    </w:p>
    <w:p>
      <w:pPr>
        <w:pStyle w:val="107"/>
        <w:numPr>
          <w:ilvl w:val="0"/>
          <w:numId w:val="0"/>
        </w:numPr>
        <w:spacing w:before="312" w:after="312"/>
      </w:pPr>
      <w:bookmarkStart w:id="67" w:name="_Toc165900285"/>
      <w:bookmarkStart w:id="68" w:name="_Toc165900263"/>
      <w:r>
        <w:rPr>
          <w:rFonts w:hint="eastAsia"/>
        </w:rPr>
        <w:t>7  履职评价</w:t>
      </w:r>
      <w:bookmarkEnd w:id="67"/>
      <w:bookmarkEnd w:id="68"/>
    </w:p>
    <w:p>
      <w:pPr>
        <w:pStyle w:val="59"/>
        <w:ind w:firstLine="420"/>
      </w:pPr>
      <w:r>
        <w:rPr>
          <w:rFonts w:hint="eastAsia" w:hAnsi="宋体"/>
        </w:rPr>
        <w:t>可参照附录A</w:t>
      </w:r>
      <w:r>
        <w:rPr>
          <w:rFonts w:hint="eastAsia"/>
        </w:rPr>
        <w:t>建立食品安全总监履职评价体系，结合实际情况对食品安</w:t>
      </w:r>
      <w:r>
        <w:rPr>
          <w:rFonts w:hint="eastAsia"/>
          <w:lang w:eastAsia="zh-CN"/>
        </w:rPr>
        <w:t>全</w:t>
      </w:r>
      <w:r>
        <w:rPr>
          <w:rFonts w:hint="eastAsia"/>
        </w:rPr>
        <w:t>总监工作绩效和职业诚信进行评价。评价考核可以采取日常工作和年终考核相结合的方式进行综合评定。</w:t>
      </w:r>
    </w:p>
    <w:p>
      <w:pPr>
        <w:pStyle w:val="107"/>
        <w:numPr>
          <w:ilvl w:val="0"/>
          <w:numId w:val="0"/>
        </w:numPr>
        <w:spacing w:before="312" w:after="312"/>
      </w:pPr>
      <w:bookmarkStart w:id="69" w:name="_Toc165900286"/>
      <w:bookmarkStart w:id="70" w:name="_Toc165900264"/>
      <w:r>
        <w:rPr>
          <w:rFonts w:hint="eastAsia"/>
        </w:rPr>
        <w:t>8 档案管理</w:t>
      </w:r>
      <w:bookmarkEnd w:id="69"/>
      <w:bookmarkEnd w:id="70"/>
    </w:p>
    <w:p>
      <w:pPr>
        <w:pStyle w:val="59"/>
        <w:ind w:firstLine="420"/>
        <w:rPr>
          <w:color w:val="auto"/>
        </w:rPr>
        <w:sectPr>
          <w:pgSz w:w="11906" w:h="16838"/>
          <w:pgMar w:top="2410" w:right="1134" w:bottom="1134" w:left="1134" w:header="1418" w:footer="1134" w:gutter="284"/>
          <w:pgNumType w:start="1"/>
          <w:cols w:space="425" w:num="1"/>
          <w:formProt w:val="0"/>
          <w:docGrid w:type="lines" w:linePitch="312" w:charSpace="0"/>
        </w:sectPr>
      </w:pPr>
      <w:r>
        <w:rPr>
          <w:rFonts w:hint="eastAsia"/>
        </w:rPr>
        <w:t>食品安全总监的履职情况予以记录并存档备</w:t>
      </w:r>
      <w:r>
        <w:rPr>
          <w:rFonts w:hint="eastAsia"/>
          <w:color w:val="auto"/>
        </w:rPr>
        <w:t>查</w:t>
      </w:r>
      <w:r>
        <w:rPr>
          <w:rFonts w:hint="eastAsia"/>
          <w:color w:val="auto"/>
          <w:lang w:eastAsia="zh-CN"/>
        </w:rPr>
        <w:t>，如</w:t>
      </w:r>
      <w:r>
        <w:rPr>
          <w:rFonts w:hint="eastAsia"/>
          <w:color w:val="auto"/>
        </w:rPr>
        <w:t>《每日食品安全检查记录》、《每周食品安全排查治理报告》、《每月食品安全调度会议纪要》、风险管控清单及培训考核记录等。档案保存期不少于二年。</w:t>
      </w:r>
      <w:r>
        <w:rPr>
          <w:rFonts w:hint="eastAsia"/>
          <w:color w:val="auto"/>
        </w:rPr>
        <w:cr/>
      </w:r>
    </w:p>
    <w:bookmarkEnd w:id="25"/>
    <w:p>
      <w:pPr>
        <w:pStyle w:val="201"/>
        <w:rPr>
          <w:vanish w:val="0"/>
        </w:rPr>
      </w:pPr>
      <w:bookmarkStart w:id="71" w:name="BookMark5"/>
    </w:p>
    <w:p>
      <w:pPr>
        <w:pStyle w:val="202"/>
        <w:rPr>
          <w:vanish w:val="0"/>
        </w:rPr>
      </w:pPr>
    </w:p>
    <w:p>
      <w:pPr>
        <w:pStyle w:val="79"/>
        <w:spacing w:before="78" w:after="156"/>
        <w:rPr>
          <w:rFonts w:hint="eastAsia" w:ascii="黑体" w:hAnsi="黑体" w:eastAsia="黑体" w:cs="黑体"/>
          <w:b w:val="0"/>
          <w:bCs w:val="0"/>
          <w:color w:val="auto"/>
          <w:lang w:val="en-US" w:eastAsia="zh-CN"/>
        </w:rPr>
      </w:pPr>
      <w:r>
        <w:rPr>
          <w:color w:val="auto"/>
        </w:rPr>
        <w:br w:type="textWrapping"/>
      </w:r>
      <w:bookmarkStart w:id="72" w:name="_Toc165900288"/>
      <w:bookmarkStart w:id="73" w:name="_Toc165900273"/>
      <w:r>
        <w:rPr>
          <w:rFonts w:hint="eastAsia"/>
          <w:color w:val="auto"/>
        </w:rPr>
        <w:t>（资料性）</w:t>
      </w:r>
      <w:r>
        <w:rPr>
          <w:color w:val="auto"/>
        </w:rPr>
        <w:br w:type="textWrapping"/>
      </w:r>
      <w:r>
        <w:rPr>
          <w:rFonts w:hint="eastAsia"/>
          <w:color w:val="auto"/>
        </w:rPr>
        <w:t>食品生产经营主体食品安全总监履职评价体系</w:t>
      </w:r>
      <w:bookmarkEnd w:id="72"/>
      <w:bookmarkEnd w:id="73"/>
    </w:p>
    <w:p>
      <w:pPr>
        <w:pStyle w:val="59"/>
        <w:rPr>
          <w:rFonts w:hint="eastAsia"/>
          <w:lang w:val="en-US" w:eastAsia="zh-CN"/>
        </w:rPr>
      </w:pPr>
      <w:r>
        <w:rPr>
          <w:rFonts w:hint="eastAsia"/>
          <w:lang w:eastAsia="zh-CN"/>
        </w:rPr>
        <w:t>可参考表</w:t>
      </w:r>
      <w:r>
        <w:rPr>
          <w:rFonts w:hint="eastAsia"/>
          <w:lang w:val="en-US" w:eastAsia="zh-CN"/>
        </w:rPr>
        <w:t>A.1</w:t>
      </w:r>
      <w:r>
        <w:rPr>
          <w:rFonts w:hint="eastAsia"/>
        </w:rPr>
        <w:t>建立食品安全总监履职评价体系</w:t>
      </w:r>
      <w:r>
        <w:rPr>
          <w:rFonts w:hint="eastAsia"/>
          <w:lang w:val="en-US" w:eastAsia="zh-CN"/>
        </w:rPr>
        <w:t>，</w:t>
      </w:r>
      <w:r>
        <w:rPr>
          <w:rFonts w:hint="eastAsia"/>
        </w:rPr>
        <w:t>评价结果作为食品安全总监续聘、解聘和奖惩的依据。</w:t>
      </w:r>
    </w:p>
    <w:p>
      <w:pPr>
        <w:pStyle w:val="59"/>
        <w:jc w:val="center"/>
        <w:rPr>
          <w:rFonts w:hint="eastAsia" w:ascii="黑体" w:hAnsi="黑体" w:eastAsia="黑体" w:cs="黑体"/>
          <w:b/>
          <w:bCs/>
          <w:color w:val="auto"/>
          <w:lang w:val="en-US" w:eastAsia="zh-CN"/>
        </w:rPr>
      </w:pPr>
      <w:r>
        <w:rPr>
          <w:rFonts w:hint="eastAsia" w:ascii="黑体" w:hAnsi="黑体" w:eastAsia="黑体" w:cs="黑体"/>
          <w:b w:val="0"/>
          <w:bCs w:val="0"/>
          <w:color w:val="auto"/>
          <w:lang w:val="en-US" w:eastAsia="zh-CN"/>
        </w:rPr>
        <w:t xml:space="preserve">表 A.1 </w:t>
      </w:r>
      <w:r>
        <w:rPr>
          <w:rFonts w:hint="eastAsia" w:ascii="黑体" w:hAnsi="黑体" w:eastAsia="黑体" w:cs="黑体"/>
          <w:b w:val="0"/>
          <w:bCs w:val="0"/>
          <w:color w:val="auto"/>
        </w:rPr>
        <w:t>食品生产经营主体食品安全总监履职评价</w:t>
      </w:r>
      <w:r>
        <w:rPr>
          <w:rFonts w:hint="eastAsia" w:ascii="黑体" w:hAnsi="黑体" w:eastAsia="黑体" w:cs="黑体"/>
          <w:b w:val="0"/>
          <w:bCs w:val="0"/>
          <w:color w:val="auto"/>
          <w:lang w:eastAsia="zh-CN"/>
        </w:rPr>
        <w:t>体系</w:t>
      </w:r>
    </w:p>
    <w:tbl>
      <w:tblPr>
        <w:tblStyle w:val="29"/>
        <w:tblW w:w="834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1276"/>
        <w:gridCol w:w="2629"/>
        <w:gridCol w:w="3637"/>
        <w:gridCol w:w="79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44" w:hRule="atLeast"/>
          <w:jc w:val="center"/>
        </w:trPr>
        <w:tc>
          <w:tcPr>
            <w:tcW w:w="1276" w:type="dxa"/>
            <w:tcBorders>
              <w:top w:val="single" w:color="auto" w:sz="8" w:space="0"/>
              <w:left w:val="single" w:color="auto" w:sz="8" w:space="0"/>
              <w:bottom w:val="single" w:color="auto" w:sz="8" w:space="0"/>
              <w:right w:val="single" w:color="auto" w:sz="4" w:space="0"/>
            </w:tcBorders>
            <w:shd w:val="clear" w:color="auto" w:fill="auto"/>
            <w:vAlign w:val="center"/>
          </w:tcPr>
          <w:p>
            <w:pPr>
              <w:spacing w:line="276" w:lineRule="auto"/>
              <w:jc w:val="center"/>
              <w:rPr>
                <w:rFonts w:ascii="宋体" w:hAnsi="宋体"/>
                <w:b/>
                <w:kern w:val="0"/>
                <w:sz w:val="18"/>
                <w:szCs w:val="18"/>
              </w:rPr>
            </w:pPr>
            <w:r>
              <w:rPr>
                <w:rFonts w:hint="eastAsia" w:ascii="宋体" w:hAnsi="宋体"/>
                <w:b/>
                <w:sz w:val="18"/>
                <w:szCs w:val="18"/>
              </w:rPr>
              <w:t>一级指标</w:t>
            </w:r>
          </w:p>
        </w:tc>
        <w:tc>
          <w:tcPr>
            <w:tcW w:w="2629" w:type="dxa"/>
            <w:tcBorders>
              <w:top w:val="single" w:color="auto" w:sz="8" w:space="0"/>
              <w:left w:val="single" w:color="auto" w:sz="4" w:space="0"/>
              <w:bottom w:val="single" w:color="auto" w:sz="8" w:space="0"/>
              <w:right w:val="single" w:color="auto" w:sz="4" w:space="0"/>
            </w:tcBorders>
            <w:shd w:val="clear" w:color="auto" w:fill="auto"/>
            <w:vAlign w:val="center"/>
          </w:tcPr>
          <w:p>
            <w:pPr>
              <w:spacing w:line="276" w:lineRule="auto"/>
              <w:jc w:val="center"/>
              <w:rPr>
                <w:rFonts w:ascii="宋体" w:hAnsi="宋体"/>
                <w:b/>
                <w:bCs/>
                <w:sz w:val="18"/>
                <w:szCs w:val="18"/>
              </w:rPr>
            </w:pPr>
            <w:r>
              <w:rPr>
                <w:rFonts w:hint="eastAsia" w:ascii="宋体" w:hAnsi="宋体"/>
                <w:b/>
                <w:bCs/>
                <w:sz w:val="18"/>
                <w:szCs w:val="18"/>
              </w:rPr>
              <w:t>二级指标</w:t>
            </w:r>
          </w:p>
        </w:tc>
        <w:tc>
          <w:tcPr>
            <w:tcW w:w="3637" w:type="dxa"/>
            <w:tcBorders>
              <w:top w:val="single" w:color="auto" w:sz="8" w:space="0"/>
              <w:left w:val="single" w:color="auto" w:sz="4" w:space="0"/>
              <w:bottom w:val="single" w:color="auto" w:sz="8" w:space="0"/>
              <w:right w:val="single" w:color="auto" w:sz="4" w:space="0"/>
            </w:tcBorders>
            <w:shd w:val="clear" w:color="auto" w:fill="auto"/>
            <w:vAlign w:val="center"/>
          </w:tcPr>
          <w:p>
            <w:pPr>
              <w:spacing w:line="276" w:lineRule="auto"/>
              <w:jc w:val="center"/>
              <w:rPr>
                <w:rFonts w:ascii="宋体" w:hAnsi="宋体"/>
                <w:b/>
                <w:bCs/>
                <w:sz w:val="18"/>
                <w:szCs w:val="18"/>
              </w:rPr>
            </w:pPr>
            <w:r>
              <w:rPr>
                <w:rFonts w:hint="eastAsia" w:ascii="宋体" w:hAnsi="宋体"/>
                <w:b/>
                <w:bCs/>
                <w:sz w:val="18"/>
                <w:szCs w:val="18"/>
              </w:rPr>
              <w:t>三级指标</w:t>
            </w:r>
          </w:p>
        </w:tc>
        <w:tc>
          <w:tcPr>
            <w:tcW w:w="798" w:type="dxa"/>
            <w:tcBorders>
              <w:top w:val="single" w:color="auto" w:sz="8" w:space="0"/>
              <w:left w:val="single" w:color="auto" w:sz="4" w:space="0"/>
              <w:bottom w:val="single" w:color="auto" w:sz="8" w:space="0"/>
              <w:right w:val="single" w:color="auto" w:sz="8" w:space="0"/>
            </w:tcBorders>
            <w:shd w:val="clear" w:color="auto" w:fill="auto"/>
            <w:vAlign w:val="center"/>
          </w:tcPr>
          <w:p>
            <w:pPr>
              <w:snapToGrid w:val="0"/>
              <w:spacing w:beforeLines="50" w:afterLines="50" w:line="276" w:lineRule="auto"/>
              <w:jc w:val="center"/>
              <w:rPr>
                <w:rFonts w:ascii="宋体" w:hAnsi="宋体"/>
                <w:b/>
                <w:bCs/>
                <w:sz w:val="18"/>
                <w:szCs w:val="18"/>
              </w:rPr>
            </w:pPr>
            <w:r>
              <w:rPr>
                <w:rFonts w:hint="eastAsia" w:ascii="宋体" w:hAnsi="宋体"/>
                <w:b/>
                <w:bCs/>
                <w:sz w:val="18"/>
                <w:szCs w:val="18"/>
              </w:rPr>
              <w:t>分值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vMerge w:val="restart"/>
            <w:tcBorders>
              <w:top w:val="single" w:color="auto" w:sz="8" w:space="0"/>
              <w:left w:val="single" w:color="auto" w:sz="8" w:space="0"/>
              <w:right w:val="single" w:color="auto" w:sz="4" w:space="0"/>
            </w:tcBorders>
            <w:shd w:val="clear" w:color="auto" w:fill="auto"/>
            <w:vAlign w:val="center"/>
          </w:tcPr>
          <w:p>
            <w:pPr>
              <w:pStyle w:val="13"/>
              <w:spacing w:line="276" w:lineRule="auto"/>
              <w:jc w:val="center"/>
              <w:rPr>
                <w:rStyle w:val="238"/>
                <w:rFonts w:ascii="宋体" w:hAnsi="宋体" w:eastAsia="宋体" w:cs="宋体"/>
                <w:color w:val="auto"/>
                <w:kern w:val="2"/>
                <w:sz w:val="18"/>
                <w:szCs w:val="18"/>
              </w:rPr>
            </w:pPr>
            <w:r>
              <w:rPr>
                <w:rStyle w:val="238"/>
                <w:rFonts w:hint="eastAsia" w:ascii="宋体" w:hAnsi="宋体" w:eastAsia="宋体" w:cs="宋体"/>
                <w:color w:val="auto"/>
                <w:kern w:val="2"/>
                <w:sz w:val="18"/>
                <w:szCs w:val="18"/>
              </w:rPr>
              <w:t>1.资源配置（12）</w:t>
            </w:r>
          </w:p>
        </w:tc>
        <w:tc>
          <w:tcPr>
            <w:tcW w:w="2629" w:type="dxa"/>
            <w:vMerge w:val="restart"/>
            <w:tcBorders>
              <w:top w:val="single" w:color="auto" w:sz="8" w:space="0"/>
              <w:left w:val="single" w:color="auto" w:sz="4" w:space="0"/>
              <w:bottom w:val="single" w:color="auto" w:sz="4" w:space="0"/>
              <w:right w:val="single" w:color="auto" w:sz="4" w:space="0"/>
            </w:tcBorders>
            <w:shd w:val="clear" w:color="auto" w:fill="auto"/>
            <w:vAlign w:val="center"/>
          </w:tcPr>
          <w:p>
            <w:pPr>
              <w:pStyle w:val="13"/>
              <w:spacing w:line="276" w:lineRule="auto"/>
              <w:jc w:val="both"/>
              <w:rPr>
                <w:rStyle w:val="238"/>
                <w:rFonts w:ascii="宋体" w:hAnsi="宋体" w:eastAsia="宋体" w:cs="宋体"/>
                <w:color w:val="auto"/>
                <w:kern w:val="2"/>
                <w:sz w:val="18"/>
                <w:szCs w:val="18"/>
              </w:rPr>
            </w:pPr>
            <w:r>
              <w:rPr>
                <w:rStyle w:val="238"/>
                <w:rFonts w:hint="eastAsia" w:ascii="宋体" w:hAnsi="宋体" w:eastAsia="宋体" w:cs="宋体"/>
                <w:color w:val="auto"/>
                <w:kern w:val="2"/>
                <w:sz w:val="18"/>
                <w:szCs w:val="18"/>
              </w:rPr>
              <w:t>1.1食品安全管理机构（3.5）</w:t>
            </w:r>
          </w:p>
        </w:tc>
        <w:tc>
          <w:tcPr>
            <w:tcW w:w="3637" w:type="dxa"/>
            <w:tcBorders>
              <w:top w:val="single" w:color="auto" w:sz="8" w:space="0"/>
              <w:left w:val="single" w:color="auto" w:sz="4" w:space="0"/>
              <w:bottom w:val="single" w:color="auto" w:sz="4" w:space="0"/>
              <w:right w:val="single" w:color="auto" w:sz="4" w:space="0"/>
            </w:tcBorders>
            <w:shd w:val="clear" w:color="auto" w:fill="auto"/>
            <w:vAlign w:val="center"/>
          </w:tcPr>
          <w:p>
            <w:pPr>
              <w:widowControl/>
              <w:spacing w:line="276" w:lineRule="auto"/>
              <w:jc w:val="left"/>
              <w:textAlignment w:val="center"/>
              <w:rPr>
                <w:rStyle w:val="238"/>
                <w:rFonts w:ascii="宋体" w:hAnsi="宋体" w:eastAsia="宋体" w:cs="宋体"/>
                <w:color w:val="auto"/>
                <w:sz w:val="18"/>
                <w:szCs w:val="18"/>
              </w:rPr>
            </w:pPr>
            <w:r>
              <w:rPr>
                <w:rStyle w:val="238"/>
                <w:rFonts w:hint="eastAsia" w:ascii="宋体" w:hAnsi="宋体" w:eastAsia="宋体" w:cs="宋体"/>
                <w:color w:val="auto"/>
                <w:sz w:val="18"/>
                <w:szCs w:val="18"/>
              </w:rPr>
              <w:t>1.1.1食品安全管理组织架构及职责</w:t>
            </w:r>
          </w:p>
        </w:tc>
        <w:tc>
          <w:tcPr>
            <w:tcW w:w="798" w:type="dxa"/>
            <w:tcBorders>
              <w:top w:val="single" w:color="auto" w:sz="8" w:space="0"/>
              <w:left w:val="single" w:color="auto" w:sz="4" w:space="0"/>
              <w:bottom w:val="single" w:color="auto" w:sz="4" w:space="0"/>
              <w:right w:val="single" w:color="auto" w:sz="8" w:space="0"/>
            </w:tcBorders>
            <w:shd w:val="clear" w:color="auto" w:fill="auto"/>
            <w:vAlign w:val="center"/>
          </w:tcPr>
          <w:p>
            <w:pPr>
              <w:widowControl/>
              <w:spacing w:line="276" w:lineRule="auto"/>
              <w:jc w:val="center"/>
              <w:textAlignment w:val="center"/>
              <w:rPr>
                <w:rStyle w:val="238"/>
                <w:rFonts w:ascii="宋体" w:hAnsi="宋体" w:eastAsia="宋体" w:cs="宋体"/>
                <w:color w:val="auto"/>
                <w:sz w:val="18"/>
                <w:szCs w:val="18"/>
              </w:rPr>
            </w:pPr>
            <w:r>
              <w:rPr>
                <w:rStyle w:val="238"/>
                <w:rFonts w:hint="eastAsia" w:ascii="宋体" w:hAnsi="宋体" w:eastAsia="宋体" w:cs="宋体"/>
                <w:color w:val="auto"/>
                <w:sz w:val="18"/>
                <w:szCs w:val="18"/>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vMerge w:val="continue"/>
            <w:tcBorders>
              <w:left w:val="single" w:color="auto" w:sz="8" w:space="0"/>
              <w:right w:val="single" w:color="auto" w:sz="4" w:space="0"/>
            </w:tcBorders>
            <w:shd w:val="clear" w:color="auto" w:fill="auto"/>
            <w:vAlign w:val="center"/>
          </w:tcPr>
          <w:p>
            <w:pPr>
              <w:pStyle w:val="13"/>
              <w:spacing w:line="276" w:lineRule="auto"/>
              <w:jc w:val="center"/>
              <w:rPr>
                <w:rStyle w:val="238"/>
                <w:rFonts w:ascii="宋体" w:hAnsi="宋体" w:eastAsia="宋体" w:cs="宋体"/>
                <w:color w:val="auto"/>
                <w:kern w:val="2"/>
                <w:sz w:val="18"/>
                <w:szCs w:val="18"/>
              </w:rPr>
            </w:pPr>
          </w:p>
        </w:tc>
        <w:tc>
          <w:tcPr>
            <w:tcW w:w="262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76" w:lineRule="auto"/>
              <w:jc w:val="both"/>
              <w:rPr>
                <w:rStyle w:val="238"/>
                <w:rFonts w:ascii="宋体" w:hAnsi="宋体" w:eastAsia="宋体" w:cs="宋体"/>
                <w:color w:val="auto"/>
                <w:kern w:val="2"/>
                <w:sz w:val="18"/>
                <w:szCs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6" w:lineRule="auto"/>
              <w:jc w:val="left"/>
              <w:textAlignment w:val="center"/>
              <w:rPr>
                <w:rStyle w:val="238"/>
                <w:rFonts w:ascii="宋体" w:hAnsi="宋体" w:eastAsia="宋体" w:cs="宋体"/>
                <w:color w:val="auto"/>
                <w:sz w:val="18"/>
                <w:szCs w:val="18"/>
              </w:rPr>
            </w:pPr>
            <w:r>
              <w:rPr>
                <w:rStyle w:val="238"/>
                <w:rFonts w:hint="eastAsia" w:ascii="宋体" w:hAnsi="宋体" w:eastAsia="宋体" w:cs="宋体"/>
                <w:color w:val="auto"/>
                <w:sz w:val="18"/>
                <w:szCs w:val="18"/>
              </w:rPr>
              <w:t>1.1.2食品安全管理人员配置及能力</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76" w:lineRule="auto"/>
              <w:jc w:val="center"/>
              <w:textAlignment w:val="center"/>
              <w:rPr>
                <w:rStyle w:val="238"/>
                <w:rFonts w:ascii="宋体" w:hAnsi="宋体" w:eastAsia="宋体" w:cs="宋体"/>
                <w:color w:val="auto"/>
                <w:sz w:val="18"/>
                <w:szCs w:val="18"/>
              </w:rPr>
            </w:pPr>
            <w:r>
              <w:rPr>
                <w:rStyle w:val="238"/>
                <w:rFonts w:hint="eastAsia" w:ascii="宋体" w:hAnsi="宋体" w:eastAsia="宋体" w:cs="宋体"/>
                <w:color w:val="auto"/>
                <w:sz w:val="18"/>
                <w:szCs w:val="18"/>
              </w:rPr>
              <w:t>2.5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vMerge w:val="continue"/>
            <w:tcBorders>
              <w:left w:val="single" w:color="auto" w:sz="8" w:space="0"/>
              <w:right w:val="single" w:color="auto" w:sz="4" w:space="0"/>
            </w:tcBorders>
            <w:shd w:val="clear" w:color="auto" w:fill="auto"/>
            <w:vAlign w:val="center"/>
          </w:tcPr>
          <w:p>
            <w:pPr>
              <w:pStyle w:val="13"/>
              <w:spacing w:line="276" w:lineRule="auto"/>
              <w:jc w:val="center"/>
              <w:rPr>
                <w:rStyle w:val="238"/>
                <w:rFonts w:ascii="宋体" w:hAnsi="宋体" w:eastAsia="宋体" w:cs="宋体"/>
                <w:color w:val="auto"/>
                <w:kern w:val="2"/>
                <w:sz w:val="18"/>
                <w:szCs w:val="18"/>
              </w:rPr>
            </w:pPr>
          </w:p>
        </w:tc>
        <w:tc>
          <w:tcPr>
            <w:tcW w:w="2629" w:type="dxa"/>
            <w:vMerge w:val="restart"/>
            <w:tcBorders>
              <w:top w:val="single" w:color="auto" w:sz="4" w:space="0"/>
              <w:left w:val="single" w:color="auto" w:sz="4" w:space="0"/>
              <w:right w:val="single" w:color="auto" w:sz="4" w:space="0"/>
            </w:tcBorders>
            <w:shd w:val="clear" w:color="auto" w:fill="auto"/>
            <w:vAlign w:val="center"/>
          </w:tcPr>
          <w:p>
            <w:pPr>
              <w:pStyle w:val="13"/>
              <w:spacing w:line="276" w:lineRule="auto"/>
              <w:jc w:val="both"/>
              <w:rPr>
                <w:rStyle w:val="238"/>
                <w:rFonts w:ascii="宋体" w:hAnsi="宋体" w:eastAsia="宋体" w:cs="宋体"/>
                <w:color w:val="auto"/>
                <w:kern w:val="2"/>
                <w:sz w:val="18"/>
                <w:szCs w:val="18"/>
              </w:rPr>
            </w:pPr>
            <w:r>
              <w:rPr>
                <w:rStyle w:val="238"/>
                <w:rFonts w:hint="eastAsia" w:ascii="宋体" w:hAnsi="宋体" w:eastAsia="宋体" w:cs="宋体"/>
                <w:color w:val="auto"/>
                <w:kern w:val="2"/>
                <w:sz w:val="18"/>
                <w:szCs w:val="18"/>
              </w:rPr>
              <w:t>1.2技术装备（2）</w:t>
            </w: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6" w:lineRule="auto"/>
              <w:jc w:val="left"/>
              <w:textAlignment w:val="center"/>
              <w:rPr>
                <w:rStyle w:val="238"/>
                <w:rFonts w:ascii="宋体" w:hAnsi="宋体" w:eastAsia="宋体" w:cs="宋体"/>
                <w:color w:val="auto"/>
                <w:sz w:val="18"/>
                <w:szCs w:val="18"/>
              </w:rPr>
            </w:pPr>
            <w:r>
              <w:rPr>
                <w:rStyle w:val="238"/>
                <w:rFonts w:hint="eastAsia" w:ascii="宋体" w:hAnsi="宋体" w:eastAsia="宋体" w:cs="宋体"/>
                <w:color w:val="auto"/>
                <w:sz w:val="18"/>
                <w:szCs w:val="18"/>
              </w:rPr>
              <w:t>1.2.1生产技术能力</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76" w:lineRule="auto"/>
              <w:jc w:val="center"/>
              <w:textAlignment w:val="center"/>
              <w:rPr>
                <w:rStyle w:val="238"/>
                <w:rFonts w:ascii="宋体" w:hAnsi="宋体" w:eastAsia="宋体" w:cs="宋体"/>
                <w:color w:val="auto"/>
                <w:sz w:val="18"/>
                <w:szCs w:val="18"/>
              </w:rPr>
            </w:pPr>
            <w:r>
              <w:rPr>
                <w:rStyle w:val="238"/>
                <w:rFonts w:hint="eastAsia" w:ascii="宋体" w:hAnsi="宋体" w:eastAsia="宋体" w:cs="宋体"/>
                <w:color w:val="auto"/>
                <w:sz w:val="18"/>
                <w:szCs w:val="18"/>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vMerge w:val="continue"/>
            <w:tcBorders>
              <w:left w:val="single" w:color="auto" w:sz="8" w:space="0"/>
              <w:right w:val="single" w:color="auto" w:sz="4" w:space="0"/>
            </w:tcBorders>
            <w:shd w:val="clear" w:color="auto" w:fill="auto"/>
            <w:vAlign w:val="center"/>
          </w:tcPr>
          <w:p>
            <w:pPr>
              <w:pStyle w:val="13"/>
              <w:spacing w:line="276" w:lineRule="auto"/>
              <w:jc w:val="center"/>
              <w:rPr>
                <w:rStyle w:val="238"/>
                <w:rFonts w:ascii="宋体" w:hAnsi="宋体" w:eastAsia="宋体" w:cs="宋体"/>
                <w:color w:val="auto"/>
                <w:kern w:val="2"/>
                <w:sz w:val="18"/>
                <w:szCs w:val="18"/>
              </w:rPr>
            </w:pPr>
          </w:p>
        </w:tc>
        <w:tc>
          <w:tcPr>
            <w:tcW w:w="2629" w:type="dxa"/>
            <w:vMerge w:val="continue"/>
            <w:tcBorders>
              <w:left w:val="single" w:color="auto" w:sz="4" w:space="0"/>
              <w:bottom w:val="single" w:color="auto" w:sz="4" w:space="0"/>
              <w:right w:val="single" w:color="auto" w:sz="4" w:space="0"/>
            </w:tcBorders>
            <w:shd w:val="clear" w:color="auto" w:fill="auto"/>
            <w:vAlign w:val="center"/>
          </w:tcPr>
          <w:p>
            <w:pPr>
              <w:pStyle w:val="13"/>
              <w:spacing w:line="276" w:lineRule="auto"/>
              <w:jc w:val="both"/>
              <w:rPr>
                <w:rStyle w:val="238"/>
                <w:rFonts w:ascii="宋体" w:hAnsi="宋体" w:eastAsia="宋体" w:cs="宋体"/>
                <w:color w:val="auto"/>
                <w:kern w:val="2"/>
                <w:sz w:val="18"/>
                <w:szCs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6" w:lineRule="auto"/>
              <w:jc w:val="left"/>
              <w:textAlignment w:val="center"/>
              <w:rPr>
                <w:rStyle w:val="238"/>
                <w:rFonts w:ascii="宋体" w:hAnsi="宋体" w:eastAsia="宋体" w:cs="宋体"/>
                <w:color w:val="auto"/>
                <w:sz w:val="18"/>
                <w:szCs w:val="18"/>
              </w:rPr>
            </w:pPr>
            <w:r>
              <w:rPr>
                <w:rStyle w:val="238"/>
                <w:rFonts w:hint="eastAsia" w:ascii="宋体" w:hAnsi="宋体" w:eastAsia="宋体" w:cs="宋体"/>
                <w:color w:val="auto"/>
                <w:sz w:val="18"/>
                <w:szCs w:val="18"/>
              </w:rPr>
              <w:t>1.2.2技术装备水平</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76" w:lineRule="auto"/>
              <w:jc w:val="center"/>
              <w:textAlignment w:val="center"/>
              <w:rPr>
                <w:rStyle w:val="238"/>
                <w:rFonts w:ascii="宋体" w:hAnsi="宋体" w:eastAsia="宋体" w:cs="宋体"/>
                <w:color w:val="auto"/>
                <w:sz w:val="18"/>
                <w:szCs w:val="18"/>
              </w:rPr>
            </w:pPr>
            <w:r>
              <w:rPr>
                <w:rStyle w:val="238"/>
                <w:rFonts w:hint="eastAsia" w:ascii="宋体" w:hAnsi="宋体" w:eastAsia="宋体" w:cs="宋体"/>
                <w:color w:val="auto"/>
                <w:sz w:val="18"/>
                <w:szCs w:val="18"/>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vMerge w:val="continue"/>
            <w:tcBorders>
              <w:left w:val="single" w:color="auto" w:sz="8" w:space="0"/>
              <w:right w:val="single" w:color="auto" w:sz="4" w:space="0"/>
            </w:tcBorders>
            <w:shd w:val="clear" w:color="auto" w:fill="auto"/>
            <w:vAlign w:val="center"/>
          </w:tcPr>
          <w:p>
            <w:pPr>
              <w:pStyle w:val="13"/>
              <w:spacing w:line="276" w:lineRule="auto"/>
              <w:jc w:val="center"/>
              <w:rPr>
                <w:rStyle w:val="238"/>
                <w:rFonts w:ascii="宋体" w:hAnsi="宋体" w:eastAsia="宋体" w:cs="宋体"/>
                <w:color w:val="auto"/>
                <w:kern w:val="2"/>
                <w:sz w:val="18"/>
                <w:szCs w:val="18"/>
              </w:rPr>
            </w:pPr>
          </w:p>
        </w:tc>
        <w:tc>
          <w:tcPr>
            <w:tcW w:w="262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76" w:lineRule="auto"/>
              <w:jc w:val="both"/>
              <w:rPr>
                <w:rStyle w:val="238"/>
                <w:rFonts w:ascii="宋体" w:hAnsi="宋体" w:eastAsia="宋体" w:cs="宋体"/>
                <w:color w:val="auto"/>
                <w:kern w:val="2"/>
                <w:sz w:val="18"/>
                <w:szCs w:val="18"/>
              </w:rPr>
            </w:pPr>
            <w:r>
              <w:rPr>
                <w:rStyle w:val="238"/>
                <w:rFonts w:hint="eastAsia" w:ascii="宋体" w:hAnsi="宋体" w:eastAsia="宋体" w:cs="宋体"/>
                <w:color w:val="auto"/>
                <w:kern w:val="2"/>
                <w:sz w:val="18"/>
                <w:szCs w:val="18"/>
              </w:rPr>
              <w:t>1.3检验能力（2）</w:t>
            </w: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6" w:lineRule="auto"/>
              <w:jc w:val="left"/>
              <w:textAlignment w:val="center"/>
              <w:rPr>
                <w:rStyle w:val="238"/>
                <w:rFonts w:ascii="宋体" w:hAnsi="宋体" w:eastAsia="宋体" w:cs="宋体"/>
                <w:color w:val="auto"/>
                <w:sz w:val="18"/>
                <w:szCs w:val="18"/>
              </w:rPr>
            </w:pPr>
            <w:r>
              <w:rPr>
                <w:rStyle w:val="238"/>
                <w:rFonts w:hint="eastAsia" w:ascii="宋体" w:hAnsi="宋体" w:eastAsia="宋体" w:cs="宋体"/>
                <w:color w:val="auto"/>
                <w:sz w:val="18"/>
                <w:szCs w:val="18"/>
              </w:rPr>
              <w:t>1.3.1检验设备</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76" w:lineRule="auto"/>
              <w:jc w:val="center"/>
              <w:textAlignment w:val="center"/>
              <w:rPr>
                <w:rStyle w:val="238"/>
                <w:rFonts w:ascii="宋体" w:hAnsi="宋体" w:eastAsia="宋体" w:cs="宋体"/>
                <w:color w:val="auto"/>
                <w:sz w:val="18"/>
                <w:szCs w:val="18"/>
              </w:rPr>
            </w:pPr>
            <w:r>
              <w:rPr>
                <w:rStyle w:val="238"/>
                <w:rFonts w:hint="eastAsia" w:ascii="宋体" w:hAnsi="宋体" w:eastAsia="宋体" w:cs="宋体"/>
                <w:color w:val="auto"/>
                <w:sz w:val="18"/>
                <w:szCs w:val="18"/>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vMerge w:val="continue"/>
            <w:tcBorders>
              <w:left w:val="single" w:color="auto" w:sz="8" w:space="0"/>
              <w:right w:val="single" w:color="auto" w:sz="4" w:space="0"/>
            </w:tcBorders>
            <w:shd w:val="clear" w:color="auto" w:fill="auto"/>
            <w:vAlign w:val="center"/>
          </w:tcPr>
          <w:p>
            <w:pPr>
              <w:pStyle w:val="13"/>
              <w:spacing w:line="276" w:lineRule="auto"/>
              <w:jc w:val="center"/>
              <w:rPr>
                <w:rStyle w:val="238"/>
                <w:rFonts w:ascii="宋体" w:hAnsi="宋体" w:eastAsia="宋体" w:cs="宋体"/>
                <w:color w:val="auto"/>
                <w:kern w:val="2"/>
                <w:sz w:val="18"/>
                <w:szCs w:val="18"/>
              </w:rPr>
            </w:pPr>
          </w:p>
        </w:tc>
        <w:tc>
          <w:tcPr>
            <w:tcW w:w="262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76" w:lineRule="auto"/>
              <w:jc w:val="both"/>
              <w:rPr>
                <w:rStyle w:val="238"/>
                <w:rFonts w:ascii="宋体" w:hAnsi="宋体" w:eastAsia="宋体" w:cs="宋体"/>
                <w:color w:val="auto"/>
                <w:kern w:val="2"/>
                <w:sz w:val="18"/>
                <w:szCs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6" w:lineRule="auto"/>
              <w:jc w:val="left"/>
              <w:textAlignment w:val="center"/>
              <w:rPr>
                <w:rStyle w:val="238"/>
                <w:rFonts w:ascii="宋体" w:hAnsi="宋体" w:eastAsia="宋体" w:cs="宋体"/>
                <w:color w:val="auto"/>
                <w:sz w:val="18"/>
                <w:szCs w:val="18"/>
              </w:rPr>
            </w:pPr>
            <w:r>
              <w:rPr>
                <w:rStyle w:val="238"/>
                <w:rFonts w:hint="eastAsia" w:ascii="宋体" w:hAnsi="宋体" w:eastAsia="宋体" w:cs="宋体"/>
                <w:color w:val="auto"/>
                <w:sz w:val="18"/>
                <w:szCs w:val="18"/>
              </w:rPr>
              <w:t>1.3.2检验能力</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76" w:lineRule="auto"/>
              <w:jc w:val="center"/>
              <w:textAlignment w:val="center"/>
              <w:rPr>
                <w:rStyle w:val="238"/>
                <w:rFonts w:ascii="宋体" w:hAnsi="宋体" w:eastAsia="宋体" w:cs="宋体"/>
                <w:color w:val="auto"/>
                <w:sz w:val="18"/>
                <w:szCs w:val="18"/>
              </w:rPr>
            </w:pPr>
            <w:r>
              <w:rPr>
                <w:rStyle w:val="238"/>
                <w:rFonts w:hint="eastAsia" w:ascii="宋体" w:hAnsi="宋体" w:eastAsia="宋体" w:cs="宋体"/>
                <w:color w:val="auto"/>
                <w:sz w:val="18"/>
                <w:szCs w:val="18"/>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vMerge w:val="continue"/>
            <w:tcBorders>
              <w:left w:val="single" w:color="auto" w:sz="8" w:space="0"/>
              <w:right w:val="single" w:color="auto" w:sz="4" w:space="0"/>
            </w:tcBorders>
            <w:shd w:val="clear" w:color="auto" w:fill="auto"/>
            <w:vAlign w:val="center"/>
          </w:tcPr>
          <w:p>
            <w:pPr>
              <w:pStyle w:val="13"/>
              <w:spacing w:line="276" w:lineRule="auto"/>
              <w:jc w:val="center"/>
              <w:rPr>
                <w:rStyle w:val="238"/>
                <w:rFonts w:ascii="宋体" w:hAnsi="宋体" w:eastAsia="宋体" w:cs="宋体"/>
                <w:color w:val="auto"/>
                <w:kern w:val="2"/>
                <w:sz w:val="18"/>
                <w:szCs w:val="18"/>
              </w:rPr>
            </w:pPr>
          </w:p>
        </w:tc>
        <w:tc>
          <w:tcPr>
            <w:tcW w:w="2629" w:type="dxa"/>
            <w:vMerge w:val="restart"/>
            <w:tcBorders>
              <w:top w:val="single" w:color="auto" w:sz="4" w:space="0"/>
              <w:left w:val="single" w:color="auto" w:sz="4" w:space="0"/>
              <w:right w:val="single" w:color="auto" w:sz="4" w:space="0"/>
            </w:tcBorders>
            <w:shd w:val="clear" w:color="auto" w:fill="auto"/>
            <w:vAlign w:val="center"/>
          </w:tcPr>
          <w:p>
            <w:pPr>
              <w:pStyle w:val="13"/>
              <w:spacing w:line="276" w:lineRule="auto"/>
              <w:jc w:val="both"/>
              <w:rPr>
                <w:rStyle w:val="238"/>
                <w:rFonts w:ascii="宋体" w:hAnsi="宋体" w:eastAsia="宋体" w:cs="宋体"/>
                <w:color w:val="auto"/>
                <w:kern w:val="2"/>
                <w:sz w:val="18"/>
                <w:szCs w:val="18"/>
              </w:rPr>
            </w:pPr>
            <w:r>
              <w:rPr>
                <w:rStyle w:val="238"/>
                <w:rFonts w:hint="eastAsia" w:ascii="宋体" w:hAnsi="宋体" w:eastAsia="宋体" w:cs="宋体"/>
                <w:color w:val="auto"/>
                <w:kern w:val="2"/>
                <w:sz w:val="18"/>
                <w:szCs w:val="18"/>
              </w:rPr>
              <w:t>1.4经费保障（4.5）</w:t>
            </w: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6" w:lineRule="auto"/>
              <w:jc w:val="left"/>
              <w:textAlignment w:val="center"/>
              <w:rPr>
                <w:rStyle w:val="238"/>
                <w:rFonts w:ascii="宋体" w:hAnsi="宋体" w:eastAsia="宋体" w:cs="宋体"/>
                <w:color w:val="auto"/>
                <w:sz w:val="18"/>
                <w:szCs w:val="18"/>
              </w:rPr>
            </w:pPr>
            <w:r>
              <w:rPr>
                <w:rStyle w:val="238"/>
                <w:rFonts w:hint="eastAsia" w:ascii="宋体" w:hAnsi="宋体" w:eastAsia="宋体" w:cs="宋体"/>
                <w:color w:val="auto"/>
                <w:sz w:val="18"/>
                <w:szCs w:val="18"/>
              </w:rPr>
              <w:t>1.4.1生产设备、技术改造经费</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76" w:lineRule="auto"/>
              <w:jc w:val="center"/>
              <w:textAlignment w:val="center"/>
              <w:rPr>
                <w:rStyle w:val="238"/>
                <w:rFonts w:ascii="宋体" w:hAnsi="宋体" w:eastAsia="宋体" w:cs="宋体"/>
                <w:color w:val="auto"/>
                <w:sz w:val="18"/>
                <w:szCs w:val="18"/>
              </w:rPr>
            </w:pPr>
            <w:r>
              <w:rPr>
                <w:rStyle w:val="238"/>
                <w:rFonts w:hint="eastAsia" w:ascii="宋体" w:hAnsi="宋体" w:eastAsia="宋体" w:cs="宋体"/>
                <w:color w:val="auto"/>
                <w:sz w:val="18"/>
                <w:szCs w:val="18"/>
              </w:rPr>
              <w:t>2.5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vMerge w:val="continue"/>
            <w:tcBorders>
              <w:left w:val="single" w:color="auto" w:sz="8" w:space="0"/>
              <w:right w:val="single" w:color="auto" w:sz="4" w:space="0"/>
            </w:tcBorders>
            <w:shd w:val="clear" w:color="auto" w:fill="auto"/>
            <w:vAlign w:val="center"/>
          </w:tcPr>
          <w:p>
            <w:pPr>
              <w:pStyle w:val="13"/>
              <w:spacing w:line="276" w:lineRule="auto"/>
              <w:jc w:val="center"/>
              <w:rPr>
                <w:rStyle w:val="238"/>
                <w:rFonts w:ascii="宋体" w:hAnsi="宋体" w:eastAsia="宋体" w:cs="宋体"/>
                <w:color w:val="auto"/>
                <w:kern w:val="2"/>
                <w:sz w:val="18"/>
                <w:szCs w:val="18"/>
              </w:rPr>
            </w:pPr>
          </w:p>
        </w:tc>
        <w:tc>
          <w:tcPr>
            <w:tcW w:w="2629" w:type="dxa"/>
            <w:vMerge w:val="continue"/>
            <w:tcBorders>
              <w:left w:val="single" w:color="auto" w:sz="4" w:space="0"/>
              <w:right w:val="single" w:color="auto" w:sz="4" w:space="0"/>
            </w:tcBorders>
            <w:shd w:val="clear" w:color="auto" w:fill="auto"/>
            <w:vAlign w:val="center"/>
          </w:tcPr>
          <w:p>
            <w:pPr>
              <w:pStyle w:val="13"/>
              <w:spacing w:line="276" w:lineRule="auto"/>
              <w:rPr>
                <w:rStyle w:val="238"/>
                <w:rFonts w:ascii="宋体" w:hAnsi="宋体" w:eastAsia="宋体" w:cs="宋体"/>
                <w:color w:val="auto"/>
                <w:kern w:val="2"/>
                <w:sz w:val="18"/>
                <w:szCs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6" w:lineRule="auto"/>
              <w:jc w:val="left"/>
              <w:textAlignment w:val="center"/>
              <w:rPr>
                <w:rStyle w:val="238"/>
                <w:rFonts w:ascii="宋体" w:hAnsi="宋体" w:eastAsia="宋体" w:cs="宋体"/>
                <w:color w:val="auto"/>
                <w:sz w:val="18"/>
                <w:szCs w:val="18"/>
              </w:rPr>
            </w:pPr>
            <w:r>
              <w:rPr>
                <w:rStyle w:val="238"/>
                <w:rFonts w:hint="eastAsia" w:ascii="宋体" w:hAnsi="宋体" w:eastAsia="宋体" w:cs="宋体"/>
                <w:color w:val="auto"/>
                <w:sz w:val="18"/>
                <w:szCs w:val="18"/>
              </w:rPr>
              <w:t>1.4.2食品安全培训、检测、评估经费</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76" w:lineRule="auto"/>
              <w:jc w:val="center"/>
              <w:textAlignment w:val="center"/>
              <w:rPr>
                <w:rStyle w:val="238"/>
                <w:rFonts w:ascii="宋体" w:hAnsi="宋体" w:eastAsia="宋体" w:cs="宋体"/>
                <w:color w:val="auto"/>
                <w:sz w:val="18"/>
                <w:szCs w:val="18"/>
              </w:rPr>
            </w:pPr>
            <w:r>
              <w:rPr>
                <w:rStyle w:val="238"/>
                <w:rFonts w:hint="eastAsia" w:ascii="宋体" w:hAnsi="宋体" w:eastAsia="宋体" w:cs="宋体"/>
                <w:color w:val="auto"/>
                <w:sz w:val="18"/>
                <w:szCs w:val="18"/>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vMerge w:val="continue"/>
            <w:tcBorders>
              <w:left w:val="single" w:color="auto" w:sz="8" w:space="0"/>
              <w:bottom w:val="single" w:color="auto" w:sz="4" w:space="0"/>
              <w:right w:val="single" w:color="auto" w:sz="4" w:space="0"/>
            </w:tcBorders>
            <w:shd w:val="clear" w:color="auto" w:fill="auto"/>
            <w:vAlign w:val="center"/>
          </w:tcPr>
          <w:p>
            <w:pPr>
              <w:pStyle w:val="13"/>
              <w:spacing w:line="276" w:lineRule="auto"/>
              <w:jc w:val="center"/>
              <w:rPr>
                <w:rStyle w:val="238"/>
                <w:rFonts w:ascii="宋体" w:hAnsi="宋体" w:eastAsia="宋体" w:cs="宋体"/>
                <w:color w:val="auto"/>
                <w:kern w:val="2"/>
                <w:sz w:val="18"/>
                <w:szCs w:val="18"/>
              </w:rPr>
            </w:pPr>
          </w:p>
        </w:tc>
        <w:tc>
          <w:tcPr>
            <w:tcW w:w="2629" w:type="dxa"/>
            <w:vMerge w:val="continue"/>
            <w:tcBorders>
              <w:left w:val="single" w:color="auto" w:sz="4" w:space="0"/>
              <w:bottom w:val="single" w:color="auto" w:sz="4" w:space="0"/>
              <w:right w:val="single" w:color="auto" w:sz="4" w:space="0"/>
            </w:tcBorders>
            <w:shd w:val="clear" w:color="auto" w:fill="auto"/>
            <w:vAlign w:val="center"/>
          </w:tcPr>
          <w:p>
            <w:pPr>
              <w:pStyle w:val="13"/>
              <w:spacing w:line="276" w:lineRule="auto"/>
              <w:rPr>
                <w:rStyle w:val="238"/>
                <w:rFonts w:ascii="宋体" w:hAnsi="宋体" w:eastAsia="宋体" w:cs="宋体"/>
                <w:color w:val="auto"/>
                <w:kern w:val="2"/>
                <w:sz w:val="18"/>
                <w:szCs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6" w:lineRule="auto"/>
              <w:jc w:val="left"/>
              <w:textAlignment w:val="center"/>
              <w:rPr>
                <w:rStyle w:val="238"/>
                <w:rFonts w:ascii="宋体" w:hAnsi="宋体" w:eastAsia="宋体" w:cs="宋体"/>
                <w:color w:val="auto"/>
                <w:sz w:val="18"/>
                <w:szCs w:val="18"/>
              </w:rPr>
            </w:pPr>
            <w:r>
              <w:rPr>
                <w:rStyle w:val="238"/>
                <w:rFonts w:hint="eastAsia" w:ascii="宋体" w:hAnsi="宋体" w:eastAsia="宋体" w:cs="宋体"/>
                <w:color w:val="auto"/>
                <w:sz w:val="18"/>
                <w:szCs w:val="18"/>
              </w:rPr>
              <w:t>1.4.3食品安全相关人员薪资构成</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76" w:lineRule="auto"/>
              <w:jc w:val="center"/>
              <w:textAlignment w:val="center"/>
              <w:rPr>
                <w:rStyle w:val="238"/>
                <w:rFonts w:ascii="宋体" w:hAnsi="宋体" w:eastAsia="宋体" w:cs="宋体"/>
                <w:color w:val="auto"/>
                <w:sz w:val="18"/>
                <w:szCs w:val="18"/>
              </w:rPr>
            </w:pPr>
            <w:r>
              <w:rPr>
                <w:rStyle w:val="238"/>
                <w:rFonts w:hint="eastAsia" w:ascii="宋体" w:hAnsi="宋体" w:eastAsia="宋体" w:cs="宋体"/>
                <w:color w:val="auto"/>
                <w:sz w:val="18"/>
                <w:szCs w:val="18"/>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76" w:lineRule="auto"/>
              <w:jc w:val="center"/>
              <w:rPr>
                <w:rFonts w:ascii="宋体" w:hAnsi="宋体" w:cs="宋体"/>
                <w:sz w:val="18"/>
                <w:szCs w:val="18"/>
              </w:rPr>
            </w:pPr>
            <w:r>
              <w:rPr>
                <w:rFonts w:hint="eastAsia" w:ascii="宋体" w:hAnsi="宋体" w:cs="宋体"/>
                <w:sz w:val="18"/>
                <w:szCs w:val="18"/>
              </w:rPr>
              <w:t>2.制度建设（12）</w:t>
            </w: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76" w:lineRule="auto"/>
              <w:rPr>
                <w:rFonts w:ascii="宋体" w:hAnsi="宋体" w:cs="宋体"/>
                <w:sz w:val="18"/>
                <w:szCs w:val="18"/>
              </w:rPr>
            </w:pPr>
            <w:r>
              <w:rPr>
                <w:rFonts w:hint="eastAsia" w:ascii="宋体" w:hAnsi="宋体" w:cs="宋体"/>
                <w:sz w:val="18"/>
                <w:szCs w:val="18"/>
              </w:rPr>
              <w:t>2.1食品安全管理体系（4）</w:t>
            </w: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6" w:lineRule="auto"/>
              <w:jc w:val="left"/>
              <w:textAlignment w:val="center"/>
              <w:rPr>
                <w:rFonts w:ascii="宋体" w:hAnsi="宋体" w:cs="宋体"/>
                <w:sz w:val="18"/>
                <w:szCs w:val="18"/>
              </w:rPr>
            </w:pPr>
            <w:r>
              <w:rPr>
                <w:rStyle w:val="237"/>
                <w:rFonts w:hint="eastAsia" w:ascii="宋体" w:hAnsi="宋体" w:cs="宋体"/>
                <w:color w:val="auto"/>
                <w:sz w:val="18"/>
                <w:szCs w:val="18"/>
              </w:rPr>
              <w:t>2.1.1</w:t>
            </w:r>
            <w:r>
              <w:rPr>
                <w:rStyle w:val="238"/>
                <w:rFonts w:hint="eastAsia" w:ascii="宋体" w:hAnsi="宋体" w:eastAsia="宋体" w:cs="宋体"/>
                <w:color w:val="auto"/>
                <w:sz w:val="18"/>
                <w:szCs w:val="18"/>
              </w:rPr>
              <w:t>食品安全管理体系</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76" w:lineRule="auto"/>
              <w:jc w:val="center"/>
              <w:textAlignment w:val="center"/>
              <w:rPr>
                <w:rFonts w:ascii="宋体" w:hAnsi="宋体" w:cs="宋体"/>
                <w:sz w:val="18"/>
                <w:szCs w:val="18"/>
              </w:rPr>
            </w:pPr>
            <w:r>
              <w:rPr>
                <w:rFonts w:hint="eastAsia" w:ascii="宋体" w:hAnsi="宋体" w:cs="宋体"/>
                <w:kern w:val="0"/>
                <w:sz w:val="18"/>
                <w:szCs w:val="18"/>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vMerge w:val="continue"/>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76" w:lineRule="auto"/>
              <w:jc w:val="center"/>
              <w:rPr>
                <w:rFonts w:ascii="宋体" w:hAnsi="宋体" w:cs="宋体"/>
                <w:sz w:val="18"/>
                <w:szCs w:val="18"/>
              </w:rPr>
            </w:pPr>
          </w:p>
        </w:tc>
        <w:tc>
          <w:tcPr>
            <w:tcW w:w="262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76" w:lineRule="auto"/>
              <w:rPr>
                <w:rFonts w:ascii="宋体" w:hAnsi="宋体" w:cs="宋体"/>
                <w:sz w:val="18"/>
                <w:szCs w:val="18"/>
              </w:rPr>
            </w:pPr>
            <w:r>
              <w:rPr>
                <w:rFonts w:hint="eastAsia" w:ascii="宋体" w:hAnsi="宋体" w:cs="宋体"/>
                <w:sz w:val="18"/>
                <w:szCs w:val="18"/>
              </w:rPr>
              <w:t>2.2食品安全管理制度（8）</w:t>
            </w: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6" w:lineRule="auto"/>
              <w:jc w:val="left"/>
              <w:textAlignment w:val="center"/>
              <w:rPr>
                <w:rFonts w:ascii="宋体" w:hAnsi="宋体" w:cs="宋体"/>
                <w:sz w:val="18"/>
                <w:szCs w:val="18"/>
              </w:rPr>
            </w:pPr>
            <w:r>
              <w:rPr>
                <w:rStyle w:val="237"/>
                <w:rFonts w:hint="eastAsia" w:ascii="宋体" w:hAnsi="宋体" w:cs="宋体"/>
                <w:color w:val="auto"/>
                <w:sz w:val="18"/>
                <w:szCs w:val="18"/>
              </w:rPr>
              <w:t>2.2.1</w:t>
            </w:r>
            <w:r>
              <w:rPr>
                <w:rStyle w:val="238"/>
                <w:rFonts w:hint="eastAsia" w:ascii="宋体" w:hAnsi="宋体" w:eastAsia="宋体" w:cs="宋体"/>
                <w:color w:val="auto"/>
                <w:sz w:val="18"/>
                <w:szCs w:val="18"/>
              </w:rPr>
              <w:t>食品安全管理制度完备性</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76" w:lineRule="auto"/>
              <w:jc w:val="center"/>
              <w:textAlignment w:val="center"/>
              <w:rPr>
                <w:rFonts w:ascii="宋体" w:hAnsi="宋体" w:cs="宋体"/>
                <w:sz w:val="18"/>
                <w:szCs w:val="18"/>
              </w:rPr>
            </w:pPr>
            <w:r>
              <w:rPr>
                <w:rFonts w:hint="eastAsia" w:ascii="宋体" w:hAnsi="宋体" w:cs="宋体"/>
                <w:kern w:val="0"/>
                <w:sz w:val="18"/>
                <w:szCs w:val="18"/>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vMerge w:val="continue"/>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76" w:lineRule="auto"/>
              <w:jc w:val="center"/>
              <w:rPr>
                <w:rFonts w:ascii="宋体" w:hAnsi="宋体" w:cs="宋体"/>
                <w:sz w:val="18"/>
                <w:szCs w:val="18"/>
              </w:rPr>
            </w:pPr>
          </w:p>
        </w:tc>
        <w:tc>
          <w:tcPr>
            <w:tcW w:w="262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76" w:lineRule="auto"/>
              <w:rPr>
                <w:rFonts w:ascii="宋体" w:hAnsi="宋体" w:cs="宋体"/>
                <w:sz w:val="18"/>
                <w:szCs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6" w:lineRule="auto"/>
              <w:jc w:val="left"/>
              <w:textAlignment w:val="center"/>
              <w:rPr>
                <w:rFonts w:ascii="宋体" w:hAnsi="宋体" w:cs="宋体"/>
                <w:sz w:val="18"/>
                <w:szCs w:val="18"/>
              </w:rPr>
            </w:pPr>
            <w:r>
              <w:rPr>
                <w:rStyle w:val="237"/>
                <w:rFonts w:hint="eastAsia" w:ascii="宋体" w:hAnsi="宋体" w:cs="宋体"/>
                <w:color w:val="auto"/>
                <w:sz w:val="18"/>
                <w:szCs w:val="18"/>
              </w:rPr>
              <w:t>2.2.2</w:t>
            </w:r>
            <w:r>
              <w:rPr>
                <w:rStyle w:val="238"/>
                <w:rFonts w:hint="eastAsia" w:ascii="宋体" w:hAnsi="宋体" w:eastAsia="宋体" w:cs="宋体"/>
                <w:color w:val="auto"/>
                <w:sz w:val="18"/>
                <w:szCs w:val="18"/>
              </w:rPr>
              <w:t>食品安全管理制度科学合规性</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76" w:lineRule="auto"/>
              <w:jc w:val="center"/>
              <w:textAlignment w:val="center"/>
              <w:rPr>
                <w:rFonts w:ascii="宋体" w:hAnsi="宋体" w:cs="宋体"/>
                <w:sz w:val="18"/>
                <w:szCs w:val="18"/>
              </w:rPr>
            </w:pPr>
            <w:r>
              <w:rPr>
                <w:rFonts w:hint="eastAsia" w:ascii="宋体" w:hAnsi="宋体" w:cs="宋体"/>
                <w:kern w:val="0"/>
                <w:sz w:val="18"/>
                <w:szCs w:val="18"/>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vMerge w:val="continue"/>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76" w:lineRule="auto"/>
              <w:jc w:val="center"/>
              <w:rPr>
                <w:rFonts w:ascii="宋体" w:hAnsi="宋体" w:cs="宋体"/>
                <w:sz w:val="18"/>
                <w:szCs w:val="18"/>
              </w:rPr>
            </w:pPr>
          </w:p>
        </w:tc>
        <w:tc>
          <w:tcPr>
            <w:tcW w:w="262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76" w:lineRule="auto"/>
              <w:rPr>
                <w:rFonts w:ascii="宋体" w:hAnsi="宋体" w:cs="宋体"/>
                <w:sz w:val="18"/>
                <w:szCs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6" w:lineRule="auto"/>
              <w:jc w:val="left"/>
              <w:textAlignment w:val="center"/>
              <w:rPr>
                <w:rFonts w:ascii="宋体" w:hAnsi="宋体" w:cs="宋体"/>
                <w:sz w:val="18"/>
                <w:szCs w:val="18"/>
              </w:rPr>
            </w:pPr>
            <w:r>
              <w:rPr>
                <w:rStyle w:val="237"/>
                <w:rFonts w:hint="eastAsia" w:ascii="宋体" w:hAnsi="宋体" w:cs="宋体"/>
                <w:color w:val="auto"/>
                <w:sz w:val="18"/>
                <w:szCs w:val="18"/>
              </w:rPr>
              <w:t>2.2.3</w:t>
            </w:r>
            <w:r>
              <w:rPr>
                <w:rStyle w:val="238"/>
                <w:rFonts w:hint="eastAsia" w:ascii="宋体" w:hAnsi="宋体" w:eastAsia="宋体" w:cs="宋体"/>
                <w:color w:val="auto"/>
                <w:sz w:val="18"/>
                <w:szCs w:val="18"/>
              </w:rPr>
              <w:t>食品安全管理制度适用性</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76" w:lineRule="auto"/>
              <w:jc w:val="center"/>
              <w:textAlignment w:val="center"/>
              <w:rPr>
                <w:rFonts w:ascii="宋体" w:hAnsi="宋体" w:cs="宋体"/>
                <w:sz w:val="18"/>
                <w:szCs w:val="18"/>
              </w:rPr>
            </w:pPr>
            <w:r>
              <w:rPr>
                <w:rFonts w:hint="eastAsia" w:ascii="宋体" w:hAnsi="宋体" w:cs="宋体"/>
                <w:kern w:val="0"/>
                <w:sz w:val="18"/>
                <w:szCs w:val="18"/>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vMerge w:val="continue"/>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76" w:lineRule="auto"/>
              <w:jc w:val="center"/>
              <w:rPr>
                <w:rFonts w:ascii="宋体" w:hAnsi="宋体" w:cs="宋体"/>
                <w:sz w:val="18"/>
                <w:szCs w:val="18"/>
              </w:rPr>
            </w:pPr>
          </w:p>
        </w:tc>
        <w:tc>
          <w:tcPr>
            <w:tcW w:w="262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76" w:lineRule="auto"/>
              <w:rPr>
                <w:rFonts w:ascii="宋体" w:hAnsi="宋体" w:cs="宋体"/>
                <w:sz w:val="18"/>
                <w:szCs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6" w:lineRule="auto"/>
              <w:jc w:val="left"/>
              <w:textAlignment w:val="center"/>
              <w:rPr>
                <w:rFonts w:ascii="宋体" w:hAnsi="宋体" w:cs="宋体"/>
                <w:sz w:val="18"/>
                <w:szCs w:val="18"/>
              </w:rPr>
            </w:pPr>
            <w:r>
              <w:rPr>
                <w:rStyle w:val="237"/>
                <w:rFonts w:hint="eastAsia" w:ascii="宋体" w:hAnsi="宋体" w:cs="宋体"/>
                <w:color w:val="auto"/>
                <w:sz w:val="18"/>
                <w:szCs w:val="18"/>
              </w:rPr>
              <w:t>2.2.4</w:t>
            </w:r>
            <w:r>
              <w:rPr>
                <w:rStyle w:val="238"/>
                <w:rFonts w:hint="eastAsia" w:ascii="宋体" w:hAnsi="宋体" w:eastAsia="宋体" w:cs="宋体"/>
                <w:color w:val="auto"/>
                <w:sz w:val="18"/>
                <w:szCs w:val="18"/>
              </w:rPr>
              <w:t>食品安全管理制度动态更新</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76" w:lineRule="auto"/>
              <w:jc w:val="center"/>
              <w:textAlignment w:val="center"/>
              <w:rPr>
                <w:rFonts w:ascii="宋体" w:hAnsi="宋体" w:cs="宋体"/>
                <w:sz w:val="18"/>
                <w:szCs w:val="18"/>
              </w:rPr>
            </w:pPr>
            <w:r>
              <w:rPr>
                <w:rFonts w:hint="eastAsia" w:ascii="宋体" w:hAnsi="宋体" w:cs="宋体"/>
                <w:kern w:val="0"/>
                <w:sz w:val="18"/>
                <w:szCs w:val="18"/>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76" w:lineRule="auto"/>
              <w:rPr>
                <w:rFonts w:ascii="宋体" w:hAnsi="宋体" w:cs="宋体"/>
                <w:sz w:val="18"/>
                <w:szCs w:val="18"/>
              </w:rPr>
            </w:pPr>
            <w:r>
              <w:rPr>
                <w:rFonts w:hint="eastAsia" w:ascii="宋体" w:hAnsi="宋体" w:cs="宋体"/>
                <w:sz w:val="18"/>
                <w:szCs w:val="18"/>
              </w:rPr>
              <w:t>3.日常管理（24）</w:t>
            </w: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76" w:lineRule="auto"/>
              <w:rPr>
                <w:rFonts w:ascii="宋体" w:hAnsi="宋体" w:cs="宋体"/>
                <w:sz w:val="18"/>
                <w:szCs w:val="18"/>
              </w:rPr>
            </w:pPr>
            <w:r>
              <w:rPr>
                <w:rFonts w:hint="eastAsia" w:ascii="宋体" w:hAnsi="宋体" w:cs="宋体"/>
                <w:sz w:val="18"/>
                <w:szCs w:val="18"/>
              </w:rPr>
              <w:t>3.1食品安全岗位责任考核（2）</w:t>
            </w: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6" w:lineRule="auto"/>
              <w:jc w:val="left"/>
              <w:textAlignment w:val="center"/>
              <w:rPr>
                <w:rFonts w:ascii="宋体" w:hAnsi="宋体" w:cs="宋体"/>
                <w:sz w:val="18"/>
                <w:szCs w:val="18"/>
              </w:rPr>
            </w:pPr>
            <w:r>
              <w:rPr>
                <w:rStyle w:val="237"/>
                <w:rFonts w:hint="eastAsia" w:ascii="宋体" w:hAnsi="宋体" w:cs="宋体"/>
                <w:color w:val="auto"/>
                <w:sz w:val="18"/>
                <w:szCs w:val="18"/>
              </w:rPr>
              <w:t>3.1.1</w:t>
            </w:r>
            <w:r>
              <w:rPr>
                <w:rStyle w:val="238"/>
                <w:rFonts w:hint="eastAsia" w:ascii="宋体" w:hAnsi="宋体" w:eastAsia="宋体" w:cs="宋体"/>
                <w:color w:val="auto"/>
                <w:sz w:val="18"/>
                <w:szCs w:val="18"/>
              </w:rPr>
              <w:t>食品安全岗位责任考核</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76" w:lineRule="auto"/>
              <w:jc w:val="center"/>
              <w:textAlignment w:val="center"/>
              <w:rPr>
                <w:rFonts w:ascii="宋体" w:hAnsi="宋体" w:cs="宋体"/>
                <w:sz w:val="18"/>
                <w:szCs w:val="18"/>
              </w:rPr>
            </w:pPr>
            <w:r>
              <w:rPr>
                <w:rFonts w:hint="eastAsia" w:ascii="宋体" w:hAnsi="宋体" w:cs="宋体"/>
                <w:kern w:val="0"/>
                <w:sz w:val="18"/>
                <w:szCs w:val="18"/>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vMerge w:val="continue"/>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76" w:lineRule="auto"/>
              <w:rPr>
                <w:rFonts w:ascii="宋体" w:hAnsi="宋体" w:cs="宋体"/>
                <w:sz w:val="18"/>
                <w:szCs w:val="18"/>
              </w:rPr>
            </w:pPr>
          </w:p>
        </w:tc>
        <w:tc>
          <w:tcPr>
            <w:tcW w:w="262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76" w:lineRule="auto"/>
              <w:rPr>
                <w:rFonts w:ascii="宋体" w:hAnsi="宋体" w:cs="宋体"/>
                <w:sz w:val="18"/>
                <w:szCs w:val="18"/>
              </w:rPr>
            </w:pPr>
            <w:r>
              <w:rPr>
                <w:rFonts w:hint="eastAsia" w:ascii="宋体" w:hAnsi="宋体" w:cs="宋体"/>
                <w:sz w:val="18"/>
                <w:szCs w:val="18"/>
              </w:rPr>
              <w:t>3.2食品安全培训（6）</w:t>
            </w: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6" w:lineRule="auto"/>
              <w:jc w:val="left"/>
              <w:textAlignment w:val="center"/>
              <w:rPr>
                <w:rFonts w:ascii="宋体" w:hAnsi="宋体" w:cs="宋体"/>
                <w:sz w:val="18"/>
                <w:szCs w:val="18"/>
              </w:rPr>
            </w:pPr>
            <w:r>
              <w:rPr>
                <w:rFonts w:hint="eastAsia" w:ascii="宋体" w:hAnsi="宋体" w:cs="宋体"/>
                <w:kern w:val="0"/>
                <w:sz w:val="18"/>
                <w:szCs w:val="18"/>
              </w:rPr>
              <w:t>3.2.1</w:t>
            </w:r>
            <w:r>
              <w:rPr>
                <w:rStyle w:val="239"/>
                <w:rFonts w:hint="eastAsia" w:ascii="宋体" w:hAnsi="宋体" w:eastAsia="宋体" w:cs="宋体"/>
                <w:color w:val="auto"/>
                <w:sz w:val="18"/>
                <w:szCs w:val="18"/>
              </w:rPr>
              <w:t>食品安全培训内容完备</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76" w:lineRule="auto"/>
              <w:jc w:val="center"/>
              <w:textAlignment w:val="center"/>
              <w:rPr>
                <w:rFonts w:ascii="宋体" w:hAnsi="宋体" w:cs="宋体"/>
                <w:sz w:val="18"/>
                <w:szCs w:val="18"/>
              </w:rPr>
            </w:pPr>
            <w:r>
              <w:rPr>
                <w:rFonts w:hint="eastAsia" w:ascii="宋体" w:hAnsi="宋体" w:cs="宋体"/>
                <w:kern w:val="0"/>
                <w:sz w:val="18"/>
                <w:szCs w:val="18"/>
              </w:rPr>
              <w:t>1.5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vMerge w:val="continue"/>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76" w:lineRule="auto"/>
              <w:rPr>
                <w:rFonts w:ascii="宋体" w:hAnsi="宋体" w:cs="宋体"/>
                <w:sz w:val="18"/>
                <w:szCs w:val="18"/>
              </w:rPr>
            </w:pPr>
          </w:p>
        </w:tc>
        <w:tc>
          <w:tcPr>
            <w:tcW w:w="262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76" w:lineRule="auto"/>
              <w:rPr>
                <w:rFonts w:ascii="宋体" w:hAnsi="宋体" w:cs="宋体"/>
                <w:sz w:val="18"/>
                <w:szCs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6" w:lineRule="auto"/>
              <w:jc w:val="left"/>
              <w:textAlignment w:val="center"/>
              <w:rPr>
                <w:rFonts w:ascii="宋体" w:hAnsi="宋体" w:cs="宋体"/>
                <w:sz w:val="18"/>
                <w:szCs w:val="18"/>
              </w:rPr>
            </w:pPr>
            <w:r>
              <w:rPr>
                <w:rFonts w:hint="eastAsia" w:ascii="宋体" w:hAnsi="宋体" w:cs="宋体"/>
                <w:kern w:val="0"/>
                <w:sz w:val="18"/>
                <w:szCs w:val="18"/>
              </w:rPr>
              <w:t>3.2.2</w:t>
            </w:r>
            <w:r>
              <w:rPr>
                <w:rStyle w:val="239"/>
                <w:rFonts w:hint="eastAsia" w:ascii="宋体" w:hAnsi="宋体" w:eastAsia="宋体" w:cs="宋体"/>
                <w:color w:val="auto"/>
                <w:sz w:val="18"/>
                <w:szCs w:val="18"/>
              </w:rPr>
              <w:t>食品安全培训课时</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76" w:lineRule="auto"/>
              <w:jc w:val="center"/>
              <w:textAlignment w:val="center"/>
              <w:rPr>
                <w:rFonts w:ascii="宋体" w:hAnsi="宋体" w:cs="宋体"/>
                <w:sz w:val="18"/>
                <w:szCs w:val="18"/>
              </w:rPr>
            </w:pPr>
            <w:r>
              <w:rPr>
                <w:rFonts w:hint="eastAsia" w:ascii="宋体" w:hAnsi="宋体" w:cs="宋体"/>
                <w:kern w:val="0"/>
                <w:sz w:val="18"/>
                <w:szCs w:val="18"/>
              </w:rPr>
              <w:t>1.5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vMerge w:val="continue"/>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76" w:lineRule="auto"/>
              <w:rPr>
                <w:rFonts w:ascii="宋体" w:hAnsi="宋体" w:cs="宋体"/>
                <w:sz w:val="18"/>
                <w:szCs w:val="18"/>
              </w:rPr>
            </w:pPr>
          </w:p>
        </w:tc>
        <w:tc>
          <w:tcPr>
            <w:tcW w:w="262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76" w:lineRule="auto"/>
              <w:rPr>
                <w:rFonts w:ascii="宋体" w:hAnsi="宋体" w:cs="宋体"/>
                <w:sz w:val="18"/>
                <w:szCs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6" w:lineRule="auto"/>
              <w:jc w:val="left"/>
              <w:textAlignment w:val="center"/>
              <w:rPr>
                <w:rFonts w:ascii="宋体" w:hAnsi="宋体" w:cs="宋体"/>
                <w:sz w:val="18"/>
                <w:szCs w:val="18"/>
              </w:rPr>
            </w:pPr>
            <w:r>
              <w:rPr>
                <w:rFonts w:hint="eastAsia" w:ascii="宋体" w:hAnsi="宋体" w:cs="宋体"/>
                <w:kern w:val="0"/>
                <w:sz w:val="18"/>
                <w:szCs w:val="18"/>
              </w:rPr>
              <w:t>3.2.3</w:t>
            </w:r>
            <w:r>
              <w:rPr>
                <w:rStyle w:val="238"/>
                <w:rFonts w:hint="eastAsia" w:ascii="宋体" w:hAnsi="宋体" w:eastAsia="宋体" w:cs="宋体"/>
                <w:color w:val="auto"/>
                <w:sz w:val="18"/>
                <w:szCs w:val="18"/>
              </w:rPr>
              <w:t>食品安全培训考核</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76" w:lineRule="auto"/>
              <w:jc w:val="center"/>
              <w:textAlignment w:val="center"/>
              <w:rPr>
                <w:rFonts w:ascii="宋体" w:hAnsi="宋体" w:cs="宋体"/>
                <w:sz w:val="18"/>
                <w:szCs w:val="18"/>
              </w:rPr>
            </w:pPr>
            <w:r>
              <w:rPr>
                <w:rFonts w:hint="eastAsia" w:ascii="宋体" w:hAnsi="宋体" w:cs="宋体"/>
                <w:kern w:val="0"/>
                <w:sz w:val="18"/>
                <w:szCs w:val="18"/>
              </w:rPr>
              <w:t>1.5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vMerge w:val="continue"/>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76" w:lineRule="auto"/>
              <w:rPr>
                <w:rFonts w:ascii="宋体" w:hAnsi="宋体" w:cs="宋体"/>
                <w:sz w:val="18"/>
                <w:szCs w:val="18"/>
              </w:rPr>
            </w:pPr>
          </w:p>
        </w:tc>
        <w:tc>
          <w:tcPr>
            <w:tcW w:w="262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76" w:lineRule="auto"/>
              <w:rPr>
                <w:rFonts w:ascii="宋体" w:hAnsi="宋体" w:cs="宋体"/>
                <w:sz w:val="18"/>
                <w:szCs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6" w:lineRule="auto"/>
              <w:jc w:val="left"/>
              <w:textAlignment w:val="center"/>
              <w:rPr>
                <w:rStyle w:val="238"/>
                <w:rFonts w:ascii="宋体" w:hAnsi="宋体" w:eastAsia="宋体" w:cs="宋体"/>
                <w:color w:val="auto"/>
                <w:sz w:val="18"/>
                <w:szCs w:val="18"/>
              </w:rPr>
            </w:pPr>
            <w:r>
              <w:rPr>
                <w:rStyle w:val="238"/>
                <w:rFonts w:hint="eastAsia" w:ascii="宋体" w:hAnsi="宋体" w:eastAsia="宋体" w:cs="宋体"/>
                <w:color w:val="auto"/>
                <w:sz w:val="18"/>
                <w:szCs w:val="18"/>
              </w:rPr>
              <w:t>3.2.4食品检验员专项培训</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76" w:lineRule="auto"/>
              <w:jc w:val="center"/>
              <w:textAlignment w:val="center"/>
              <w:rPr>
                <w:rFonts w:ascii="宋体" w:hAnsi="宋体" w:cs="宋体"/>
                <w:sz w:val="18"/>
                <w:szCs w:val="18"/>
              </w:rPr>
            </w:pPr>
            <w:r>
              <w:rPr>
                <w:rFonts w:hint="eastAsia" w:ascii="宋体" w:hAnsi="宋体" w:cs="宋体"/>
                <w:kern w:val="0"/>
                <w:sz w:val="18"/>
                <w:szCs w:val="18"/>
              </w:rPr>
              <w:t>1.5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vMerge w:val="continue"/>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76" w:lineRule="auto"/>
              <w:rPr>
                <w:rFonts w:ascii="宋体" w:hAnsi="宋体" w:cs="宋体"/>
                <w:sz w:val="18"/>
                <w:szCs w:val="18"/>
              </w:rPr>
            </w:pPr>
          </w:p>
        </w:tc>
        <w:tc>
          <w:tcPr>
            <w:tcW w:w="262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76" w:lineRule="auto"/>
              <w:rPr>
                <w:rFonts w:ascii="宋体" w:hAnsi="宋体" w:cs="宋体"/>
                <w:sz w:val="18"/>
                <w:szCs w:val="18"/>
              </w:rPr>
            </w:pPr>
            <w:r>
              <w:rPr>
                <w:rFonts w:hint="eastAsia" w:ascii="宋体" w:hAnsi="宋体" w:cs="宋体"/>
                <w:sz w:val="18"/>
                <w:szCs w:val="18"/>
              </w:rPr>
              <w:t>3.3生产经营过程管理（12）</w:t>
            </w: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6" w:lineRule="auto"/>
              <w:jc w:val="left"/>
              <w:textAlignment w:val="center"/>
              <w:rPr>
                <w:rStyle w:val="238"/>
                <w:rFonts w:ascii="宋体" w:hAnsi="宋体" w:eastAsia="宋体" w:cs="宋体"/>
                <w:color w:val="auto"/>
                <w:sz w:val="18"/>
                <w:szCs w:val="18"/>
              </w:rPr>
            </w:pPr>
            <w:r>
              <w:rPr>
                <w:rStyle w:val="238"/>
                <w:rFonts w:hint="eastAsia" w:ascii="宋体" w:hAnsi="宋体" w:eastAsia="宋体" w:cs="宋体"/>
                <w:color w:val="auto"/>
                <w:sz w:val="18"/>
                <w:szCs w:val="18"/>
              </w:rPr>
              <w:t>3.3.1供货者食品安全状况评价</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76" w:lineRule="auto"/>
              <w:jc w:val="center"/>
              <w:textAlignment w:val="center"/>
              <w:rPr>
                <w:rFonts w:ascii="宋体" w:hAnsi="宋体" w:cs="宋体"/>
                <w:sz w:val="18"/>
                <w:szCs w:val="18"/>
              </w:rPr>
            </w:pPr>
            <w:r>
              <w:rPr>
                <w:rFonts w:hint="eastAsia" w:ascii="宋体" w:hAnsi="宋体" w:cs="宋体"/>
                <w:kern w:val="0"/>
                <w:sz w:val="18"/>
                <w:szCs w:val="18"/>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vMerge w:val="continue"/>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76" w:lineRule="auto"/>
              <w:rPr>
                <w:rFonts w:ascii="宋体" w:hAnsi="宋体" w:cs="宋体"/>
                <w:sz w:val="18"/>
                <w:szCs w:val="18"/>
              </w:rPr>
            </w:pPr>
          </w:p>
        </w:tc>
        <w:tc>
          <w:tcPr>
            <w:tcW w:w="262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76" w:lineRule="auto"/>
              <w:rPr>
                <w:rFonts w:ascii="宋体" w:hAnsi="宋体" w:cs="宋体"/>
                <w:sz w:val="18"/>
                <w:szCs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6" w:lineRule="auto"/>
              <w:jc w:val="left"/>
              <w:textAlignment w:val="center"/>
              <w:rPr>
                <w:rStyle w:val="238"/>
                <w:rFonts w:ascii="宋体" w:hAnsi="宋体" w:eastAsia="宋体" w:cs="宋体"/>
                <w:color w:val="auto"/>
                <w:sz w:val="18"/>
                <w:szCs w:val="18"/>
              </w:rPr>
            </w:pPr>
            <w:r>
              <w:rPr>
                <w:rStyle w:val="238"/>
                <w:rFonts w:hint="eastAsia" w:ascii="宋体" w:hAnsi="宋体" w:eastAsia="宋体" w:cs="宋体"/>
                <w:color w:val="auto"/>
                <w:sz w:val="18"/>
                <w:szCs w:val="18"/>
              </w:rPr>
              <w:t>3.3.2进货查验及证明材料</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76" w:lineRule="auto"/>
              <w:jc w:val="center"/>
              <w:textAlignment w:val="center"/>
              <w:rPr>
                <w:rFonts w:ascii="宋体" w:hAnsi="宋体" w:cs="宋体"/>
                <w:sz w:val="18"/>
                <w:szCs w:val="18"/>
              </w:rPr>
            </w:pPr>
            <w:r>
              <w:rPr>
                <w:rFonts w:hint="eastAsia" w:ascii="宋体" w:hAnsi="宋体" w:cs="宋体"/>
                <w:kern w:val="0"/>
                <w:sz w:val="18"/>
                <w:szCs w:val="18"/>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vMerge w:val="continue"/>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76" w:lineRule="auto"/>
              <w:rPr>
                <w:rFonts w:ascii="宋体" w:hAnsi="宋体" w:cs="宋体"/>
                <w:sz w:val="18"/>
                <w:szCs w:val="18"/>
              </w:rPr>
            </w:pPr>
          </w:p>
        </w:tc>
        <w:tc>
          <w:tcPr>
            <w:tcW w:w="262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76" w:lineRule="auto"/>
              <w:rPr>
                <w:rFonts w:ascii="宋体" w:hAnsi="宋体" w:cs="宋体"/>
                <w:sz w:val="18"/>
                <w:szCs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6" w:lineRule="auto"/>
              <w:jc w:val="left"/>
              <w:textAlignment w:val="center"/>
              <w:rPr>
                <w:rStyle w:val="238"/>
                <w:rFonts w:ascii="宋体" w:hAnsi="宋体" w:eastAsia="宋体" w:cs="宋体"/>
                <w:color w:val="auto"/>
                <w:sz w:val="18"/>
                <w:szCs w:val="18"/>
              </w:rPr>
            </w:pPr>
            <w:r>
              <w:rPr>
                <w:rStyle w:val="238"/>
                <w:rFonts w:hint="eastAsia" w:ascii="宋体" w:hAnsi="宋体" w:eastAsia="宋体" w:cs="宋体"/>
                <w:color w:val="auto"/>
                <w:sz w:val="18"/>
                <w:szCs w:val="18"/>
              </w:rPr>
              <w:t>3.3.3生产经营过程关键控制点</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76" w:lineRule="auto"/>
              <w:jc w:val="center"/>
              <w:textAlignment w:val="center"/>
              <w:rPr>
                <w:rFonts w:ascii="宋体" w:hAnsi="宋体" w:cs="宋体"/>
                <w:sz w:val="18"/>
                <w:szCs w:val="18"/>
              </w:rPr>
            </w:pPr>
            <w:r>
              <w:rPr>
                <w:rFonts w:hint="eastAsia" w:ascii="宋体" w:hAnsi="宋体" w:cs="宋体"/>
                <w:kern w:val="0"/>
                <w:sz w:val="18"/>
                <w:szCs w:val="18"/>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vMerge w:val="continue"/>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76" w:lineRule="auto"/>
              <w:rPr>
                <w:rFonts w:ascii="宋体" w:hAnsi="宋体" w:cs="宋体"/>
                <w:sz w:val="18"/>
                <w:szCs w:val="18"/>
              </w:rPr>
            </w:pPr>
          </w:p>
        </w:tc>
        <w:tc>
          <w:tcPr>
            <w:tcW w:w="262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76" w:lineRule="auto"/>
              <w:rPr>
                <w:rFonts w:ascii="宋体" w:hAnsi="宋体" w:cs="宋体"/>
                <w:sz w:val="18"/>
                <w:szCs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6" w:lineRule="auto"/>
              <w:jc w:val="left"/>
              <w:textAlignment w:val="center"/>
              <w:rPr>
                <w:rStyle w:val="238"/>
                <w:rFonts w:ascii="宋体" w:hAnsi="宋体" w:eastAsia="宋体" w:cs="宋体"/>
                <w:color w:val="auto"/>
                <w:sz w:val="18"/>
                <w:szCs w:val="18"/>
              </w:rPr>
            </w:pPr>
            <w:r>
              <w:rPr>
                <w:rStyle w:val="238"/>
                <w:rFonts w:hint="eastAsia" w:ascii="宋体" w:hAnsi="宋体" w:eastAsia="宋体" w:cs="宋体"/>
                <w:color w:val="auto"/>
                <w:sz w:val="18"/>
                <w:szCs w:val="18"/>
              </w:rPr>
              <w:t>3.3.4出厂检验及销售</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76" w:lineRule="auto"/>
              <w:jc w:val="center"/>
              <w:textAlignment w:val="center"/>
              <w:rPr>
                <w:rFonts w:ascii="宋体" w:hAnsi="宋体" w:cs="宋体"/>
                <w:sz w:val="18"/>
                <w:szCs w:val="18"/>
              </w:rPr>
            </w:pPr>
            <w:r>
              <w:rPr>
                <w:rFonts w:hint="eastAsia" w:ascii="宋体" w:hAnsi="宋体" w:cs="宋体"/>
                <w:kern w:val="0"/>
                <w:sz w:val="18"/>
                <w:szCs w:val="18"/>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vMerge w:val="continue"/>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76" w:lineRule="auto"/>
              <w:rPr>
                <w:rFonts w:ascii="宋体" w:hAnsi="宋体" w:cs="宋体"/>
                <w:sz w:val="18"/>
                <w:szCs w:val="18"/>
              </w:rPr>
            </w:pPr>
          </w:p>
        </w:tc>
        <w:tc>
          <w:tcPr>
            <w:tcW w:w="262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76" w:lineRule="auto"/>
              <w:rPr>
                <w:rFonts w:ascii="宋体" w:hAnsi="宋体" w:cs="宋体"/>
                <w:sz w:val="18"/>
                <w:szCs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6" w:lineRule="auto"/>
              <w:jc w:val="left"/>
              <w:textAlignment w:val="center"/>
              <w:rPr>
                <w:rStyle w:val="238"/>
                <w:rFonts w:ascii="宋体" w:hAnsi="宋体" w:eastAsia="宋体" w:cs="宋体"/>
                <w:color w:val="auto"/>
                <w:sz w:val="18"/>
                <w:szCs w:val="18"/>
              </w:rPr>
            </w:pPr>
            <w:r>
              <w:rPr>
                <w:rStyle w:val="238"/>
                <w:rFonts w:hint="eastAsia" w:ascii="宋体" w:hAnsi="宋体" w:eastAsia="宋体" w:cs="宋体"/>
                <w:color w:val="auto"/>
                <w:sz w:val="18"/>
                <w:szCs w:val="18"/>
              </w:rPr>
              <w:t>3.3.5食品安全追溯体系</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76" w:lineRule="auto"/>
              <w:jc w:val="center"/>
              <w:textAlignment w:val="center"/>
              <w:rPr>
                <w:rFonts w:ascii="宋体" w:hAnsi="宋体" w:cs="宋体"/>
                <w:sz w:val="18"/>
                <w:szCs w:val="18"/>
              </w:rPr>
            </w:pPr>
            <w:r>
              <w:rPr>
                <w:rFonts w:hint="eastAsia" w:ascii="宋体" w:hAnsi="宋体" w:cs="宋体"/>
                <w:kern w:val="0"/>
                <w:sz w:val="18"/>
                <w:szCs w:val="18"/>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vMerge w:val="continue"/>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76" w:lineRule="auto"/>
              <w:rPr>
                <w:rFonts w:ascii="宋体" w:hAnsi="宋体" w:cs="宋体"/>
                <w:sz w:val="18"/>
                <w:szCs w:val="18"/>
              </w:rPr>
            </w:pPr>
          </w:p>
        </w:tc>
        <w:tc>
          <w:tcPr>
            <w:tcW w:w="262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76" w:lineRule="auto"/>
              <w:rPr>
                <w:rFonts w:ascii="宋体" w:hAnsi="宋体" w:cs="宋体"/>
                <w:sz w:val="18"/>
                <w:szCs w:val="18"/>
              </w:rPr>
            </w:pPr>
            <w:r>
              <w:rPr>
                <w:rFonts w:hint="eastAsia" w:ascii="宋体" w:hAnsi="宋体" w:cs="宋体"/>
                <w:sz w:val="18"/>
                <w:szCs w:val="18"/>
              </w:rPr>
              <w:t>3.4卫生管理（4）</w:t>
            </w: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6" w:lineRule="auto"/>
              <w:jc w:val="left"/>
              <w:textAlignment w:val="center"/>
              <w:rPr>
                <w:rStyle w:val="238"/>
                <w:rFonts w:ascii="宋体" w:hAnsi="宋体" w:eastAsia="宋体" w:cs="宋体"/>
                <w:color w:val="auto"/>
                <w:sz w:val="18"/>
                <w:szCs w:val="18"/>
              </w:rPr>
            </w:pPr>
            <w:r>
              <w:rPr>
                <w:rStyle w:val="238"/>
                <w:rFonts w:hint="eastAsia" w:ascii="宋体" w:hAnsi="宋体" w:eastAsia="宋体" w:cs="宋体"/>
                <w:color w:val="auto"/>
                <w:sz w:val="18"/>
                <w:szCs w:val="18"/>
              </w:rPr>
              <w:t>3.4.1通用卫生规范</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76" w:lineRule="auto"/>
              <w:jc w:val="center"/>
              <w:textAlignment w:val="center"/>
              <w:rPr>
                <w:rFonts w:ascii="宋体" w:hAnsi="宋体" w:cs="宋体"/>
                <w:sz w:val="18"/>
                <w:szCs w:val="18"/>
              </w:rPr>
            </w:pPr>
            <w:r>
              <w:rPr>
                <w:rFonts w:hint="eastAsia" w:ascii="宋体" w:hAnsi="宋体" w:cs="宋体"/>
                <w:kern w:val="0"/>
                <w:sz w:val="18"/>
                <w:szCs w:val="18"/>
              </w:rPr>
              <w:t>2.5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vMerge w:val="continue"/>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76" w:lineRule="auto"/>
              <w:jc w:val="center"/>
              <w:rPr>
                <w:rFonts w:ascii="宋体" w:hAnsi="宋体" w:cs="宋体"/>
                <w:sz w:val="18"/>
                <w:szCs w:val="18"/>
              </w:rPr>
            </w:pPr>
          </w:p>
        </w:tc>
        <w:tc>
          <w:tcPr>
            <w:tcW w:w="262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76" w:lineRule="auto"/>
              <w:rPr>
                <w:rFonts w:ascii="宋体" w:hAnsi="宋体" w:cs="宋体"/>
                <w:sz w:val="18"/>
                <w:szCs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6" w:lineRule="auto"/>
              <w:jc w:val="left"/>
              <w:textAlignment w:val="center"/>
              <w:rPr>
                <w:rStyle w:val="238"/>
                <w:rFonts w:ascii="宋体" w:hAnsi="宋体" w:eastAsia="宋体" w:cs="宋体"/>
                <w:color w:val="auto"/>
                <w:sz w:val="18"/>
                <w:szCs w:val="18"/>
              </w:rPr>
            </w:pPr>
            <w:r>
              <w:rPr>
                <w:rStyle w:val="238"/>
                <w:rFonts w:hint="eastAsia" w:ascii="宋体" w:hAnsi="宋体" w:eastAsia="宋体" w:cs="宋体"/>
                <w:color w:val="auto"/>
                <w:sz w:val="18"/>
                <w:szCs w:val="18"/>
              </w:rPr>
              <w:t>3.4.2人员健康管理</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76" w:lineRule="auto"/>
              <w:jc w:val="center"/>
              <w:textAlignment w:val="center"/>
              <w:rPr>
                <w:rFonts w:ascii="宋体" w:hAnsi="宋体" w:cs="宋体"/>
                <w:sz w:val="18"/>
                <w:szCs w:val="18"/>
              </w:rPr>
            </w:pPr>
            <w:r>
              <w:rPr>
                <w:rFonts w:hint="eastAsia" w:ascii="宋体" w:hAnsi="宋体" w:cs="宋体"/>
                <w:kern w:val="0"/>
                <w:sz w:val="18"/>
                <w:szCs w:val="18"/>
              </w:rPr>
              <w:t>1.5</w:t>
            </w:r>
          </w:p>
        </w:tc>
      </w:tr>
    </w:tbl>
    <w:p>
      <w:pPr>
        <w:pStyle w:val="59"/>
        <w:ind w:firstLine="420"/>
      </w:pPr>
    </w:p>
    <w:p>
      <w:pPr>
        <w:pStyle w:val="59"/>
        <w:ind w:firstLine="420"/>
      </w:pPr>
    </w:p>
    <w:p>
      <w:pPr>
        <w:pStyle w:val="59"/>
        <w:ind w:firstLine="420"/>
      </w:pPr>
    </w:p>
    <w:p>
      <w:pPr>
        <w:pStyle w:val="59"/>
        <w:ind w:firstLine="420"/>
      </w:pPr>
    </w:p>
    <w:p>
      <w:pPr>
        <w:pStyle w:val="59"/>
        <w:ind w:firstLine="420"/>
      </w:pPr>
    </w:p>
    <w:tbl>
      <w:tblPr>
        <w:tblStyle w:val="29"/>
        <w:tblW w:w="834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1276"/>
        <w:gridCol w:w="2629"/>
        <w:gridCol w:w="3637"/>
        <w:gridCol w:w="79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262" w:hRule="atLeast"/>
          <w:jc w:val="center"/>
        </w:trPr>
        <w:tc>
          <w:tcPr>
            <w:tcW w:w="1276" w:type="dxa"/>
            <w:tcBorders>
              <w:top w:val="single" w:color="auto" w:sz="8" w:space="0"/>
              <w:left w:val="single" w:color="auto" w:sz="8" w:space="0"/>
              <w:bottom w:val="single" w:color="auto" w:sz="8" w:space="0"/>
              <w:right w:val="single" w:color="auto" w:sz="4" w:space="0"/>
            </w:tcBorders>
            <w:shd w:val="clear" w:color="auto" w:fill="auto"/>
            <w:vAlign w:val="center"/>
          </w:tcPr>
          <w:p>
            <w:pPr>
              <w:spacing w:line="360" w:lineRule="exact"/>
              <w:jc w:val="center"/>
              <w:rPr>
                <w:rFonts w:ascii="宋体" w:hAnsi="宋体"/>
                <w:b/>
                <w:kern w:val="0"/>
                <w:sz w:val="18"/>
                <w:szCs w:val="18"/>
              </w:rPr>
            </w:pPr>
            <w:r>
              <w:rPr>
                <w:rFonts w:hint="eastAsia" w:ascii="宋体" w:hAnsi="宋体"/>
                <w:b/>
                <w:sz w:val="18"/>
                <w:szCs w:val="18"/>
              </w:rPr>
              <w:t>一级指标</w:t>
            </w:r>
          </w:p>
        </w:tc>
        <w:tc>
          <w:tcPr>
            <w:tcW w:w="2629" w:type="dxa"/>
            <w:tcBorders>
              <w:top w:val="single" w:color="auto" w:sz="8" w:space="0"/>
              <w:left w:val="single" w:color="auto" w:sz="4" w:space="0"/>
              <w:bottom w:val="single" w:color="auto" w:sz="8" w:space="0"/>
              <w:right w:val="single" w:color="auto" w:sz="4" w:space="0"/>
            </w:tcBorders>
            <w:shd w:val="clear" w:color="auto" w:fill="auto"/>
            <w:vAlign w:val="center"/>
          </w:tcPr>
          <w:p>
            <w:pPr>
              <w:spacing w:line="360" w:lineRule="exact"/>
              <w:jc w:val="center"/>
              <w:rPr>
                <w:rFonts w:ascii="宋体" w:hAnsi="宋体"/>
                <w:b/>
                <w:bCs/>
                <w:sz w:val="18"/>
                <w:szCs w:val="18"/>
              </w:rPr>
            </w:pPr>
            <w:r>
              <w:rPr>
                <w:rFonts w:hint="eastAsia" w:ascii="宋体" w:hAnsi="宋体"/>
                <w:b/>
                <w:bCs/>
                <w:sz w:val="18"/>
                <w:szCs w:val="18"/>
              </w:rPr>
              <w:t>二级指标</w:t>
            </w:r>
          </w:p>
        </w:tc>
        <w:tc>
          <w:tcPr>
            <w:tcW w:w="3637" w:type="dxa"/>
            <w:tcBorders>
              <w:top w:val="single" w:color="auto" w:sz="8" w:space="0"/>
              <w:left w:val="single" w:color="auto" w:sz="4" w:space="0"/>
              <w:bottom w:val="single" w:color="auto" w:sz="8" w:space="0"/>
              <w:right w:val="single" w:color="auto" w:sz="4" w:space="0"/>
            </w:tcBorders>
            <w:shd w:val="clear" w:color="auto" w:fill="auto"/>
            <w:vAlign w:val="center"/>
          </w:tcPr>
          <w:p>
            <w:pPr>
              <w:spacing w:line="360" w:lineRule="exact"/>
              <w:jc w:val="center"/>
              <w:rPr>
                <w:rFonts w:ascii="宋体" w:hAnsi="宋体"/>
                <w:b/>
                <w:bCs/>
                <w:sz w:val="18"/>
                <w:szCs w:val="18"/>
              </w:rPr>
            </w:pPr>
            <w:r>
              <w:rPr>
                <w:rFonts w:hint="eastAsia" w:ascii="宋体" w:hAnsi="宋体"/>
                <w:b/>
                <w:bCs/>
                <w:sz w:val="18"/>
                <w:szCs w:val="18"/>
              </w:rPr>
              <w:t>三级指标</w:t>
            </w:r>
          </w:p>
        </w:tc>
        <w:tc>
          <w:tcPr>
            <w:tcW w:w="798" w:type="dxa"/>
            <w:tcBorders>
              <w:top w:val="single" w:color="auto" w:sz="8" w:space="0"/>
              <w:left w:val="single" w:color="auto" w:sz="4" w:space="0"/>
              <w:bottom w:val="single" w:color="auto" w:sz="8" w:space="0"/>
              <w:right w:val="single" w:color="auto" w:sz="8" w:space="0"/>
            </w:tcBorders>
            <w:shd w:val="clear" w:color="auto" w:fill="auto"/>
            <w:vAlign w:val="center"/>
          </w:tcPr>
          <w:p>
            <w:pPr>
              <w:snapToGrid w:val="0"/>
              <w:spacing w:beforeLines="50" w:afterLines="50"/>
              <w:jc w:val="center"/>
              <w:rPr>
                <w:rFonts w:ascii="宋体" w:hAnsi="宋体"/>
                <w:b/>
                <w:bCs/>
                <w:sz w:val="18"/>
                <w:szCs w:val="18"/>
              </w:rPr>
            </w:pPr>
            <w:r>
              <w:rPr>
                <w:rFonts w:hint="eastAsia" w:ascii="宋体" w:hAnsi="宋体"/>
                <w:b/>
                <w:bCs/>
                <w:sz w:val="18"/>
                <w:szCs w:val="18"/>
              </w:rPr>
              <w:t>分值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pPr>
              <w:pStyle w:val="13"/>
              <w:jc w:val="center"/>
              <w:rPr>
                <w:rFonts w:ascii="宋体" w:hAnsi="宋体" w:cs="宋体"/>
                <w:sz w:val="18"/>
                <w:szCs w:val="18"/>
              </w:rPr>
            </w:pPr>
            <w:r>
              <w:rPr>
                <w:rFonts w:hint="eastAsia" w:ascii="宋体" w:hAnsi="宋体" w:cs="宋体"/>
                <w:sz w:val="18"/>
                <w:szCs w:val="18"/>
              </w:rPr>
              <w:t>4.风险防控（20）</w:t>
            </w:r>
          </w:p>
        </w:tc>
        <w:tc>
          <w:tcPr>
            <w:tcW w:w="262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3"/>
              <w:rPr>
                <w:rFonts w:ascii="宋体" w:hAnsi="宋体" w:cs="宋体"/>
                <w:sz w:val="18"/>
                <w:szCs w:val="18"/>
              </w:rPr>
            </w:pPr>
            <w:r>
              <w:rPr>
                <w:rFonts w:hint="eastAsia" w:ascii="宋体" w:hAnsi="宋体" w:cs="宋体"/>
                <w:sz w:val="18"/>
                <w:szCs w:val="18"/>
              </w:rPr>
              <w:t>4.1风险隐患管控清单（3）</w:t>
            </w: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Style w:val="238"/>
                <w:rFonts w:ascii="宋体" w:hAnsi="宋体" w:eastAsia="宋体" w:cs="宋体"/>
                <w:color w:val="auto"/>
                <w:sz w:val="18"/>
                <w:szCs w:val="18"/>
              </w:rPr>
            </w:pPr>
            <w:r>
              <w:rPr>
                <w:rStyle w:val="238"/>
                <w:rFonts w:hint="eastAsia" w:ascii="宋体" w:hAnsi="宋体" w:eastAsia="宋体" w:cs="宋体"/>
                <w:color w:val="auto"/>
                <w:sz w:val="18"/>
                <w:szCs w:val="18"/>
              </w:rPr>
              <w:t>4.1.1建立个性化清单</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jc w:val="center"/>
              <w:textAlignment w:val="center"/>
              <w:rPr>
                <w:rFonts w:ascii="宋体" w:hAnsi="宋体" w:cs="宋体"/>
                <w:sz w:val="18"/>
                <w:szCs w:val="18"/>
              </w:rPr>
            </w:pPr>
            <w:r>
              <w:rPr>
                <w:rFonts w:hint="eastAsia" w:ascii="宋体" w:hAnsi="宋体" w:cs="宋体"/>
                <w:kern w:val="0"/>
                <w:sz w:val="18"/>
                <w:szCs w:val="18"/>
              </w:rPr>
              <w:t>1.5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vMerge w:val="continue"/>
            <w:tcBorders>
              <w:top w:val="single" w:color="auto" w:sz="4" w:space="0"/>
              <w:left w:val="single" w:color="auto" w:sz="8" w:space="0"/>
              <w:bottom w:val="single" w:color="auto" w:sz="4" w:space="0"/>
              <w:right w:val="single" w:color="auto" w:sz="4" w:space="0"/>
            </w:tcBorders>
            <w:shd w:val="clear" w:color="auto" w:fill="auto"/>
            <w:vAlign w:val="center"/>
          </w:tcPr>
          <w:p>
            <w:pPr>
              <w:pStyle w:val="13"/>
              <w:jc w:val="center"/>
              <w:rPr>
                <w:rFonts w:ascii="宋体" w:hAnsi="宋体" w:cs="宋体"/>
                <w:sz w:val="18"/>
                <w:szCs w:val="18"/>
              </w:rPr>
            </w:pPr>
          </w:p>
        </w:tc>
        <w:tc>
          <w:tcPr>
            <w:tcW w:w="262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13"/>
              <w:rPr>
                <w:rFonts w:ascii="宋体" w:hAnsi="宋体" w:cs="宋体"/>
                <w:sz w:val="18"/>
                <w:szCs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Style w:val="238"/>
                <w:rFonts w:ascii="宋体" w:hAnsi="宋体" w:eastAsia="宋体" w:cs="宋体"/>
                <w:color w:val="auto"/>
                <w:sz w:val="18"/>
                <w:szCs w:val="18"/>
              </w:rPr>
            </w:pPr>
            <w:r>
              <w:rPr>
                <w:rStyle w:val="238"/>
                <w:rFonts w:hint="eastAsia" w:ascii="宋体" w:hAnsi="宋体" w:eastAsia="宋体" w:cs="宋体"/>
                <w:color w:val="auto"/>
                <w:sz w:val="18"/>
                <w:szCs w:val="18"/>
              </w:rPr>
              <w:t>4.1.2定期修订风险隐患管控清单</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jc w:val="center"/>
              <w:textAlignment w:val="center"/>
              <w:rPr>
                <w:rFonts w:ascii="宋体" w:hAnsi="宋体" w:cs="宋体"/>
                <w:sz w:val="18"/>
                <w:szCs w:val="18"/>
              </w:rPr>
            </w:pPr>
            <w:r>
              <w:rPr>
                <w:rFonts w:hint="eastAsia" w:ascii="宋体" w:hAnsi="宋体" w:cs="宋体"/>
                <w:kern w:val="0"/>
                <w:sz w:val="18"/>
                <w:szCs w:val="18"/>
              </w:rPr>
              <w:t>1.5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vMerge w:val="continue"/>
            <w:tcBorders>
              <w:top w:val="single" w:color="auto" w:sz="4" w:space="0"/>
              <w:left w:val="single" w:color="auto" w:sz="8" w:space="0"/>
              <w:bottom w:val="single" w:color="auto" w:sz="4" w:space="0"/>
              <w:right w:val="single" w:color="auto" w:sz="4" w:space="0"/>
            </w:tcBorders>
            <w:shd w:val="clear" w:color="auto" w:fill="auto"/>
            <w:vAlign w:val="center"/>
          </w:tcPr>
          <w:p>
            <w:pPr>
              <w:pStyle w:val="13"/>
              <w:jc w:val="center"/>
              <w:rPr>
                <w:rFonts w:ascii="宋体" w:hAnsi="宋体" w:cs="宋体"/>
                <w:sz w:val="18"/>
                <w:szCs w:val="18"/>
              </w:rPr>
            </w:pPr>
          </w:p>
        </w:tc>
        <w:tc>
          <w:tcPr>
            <w:tcW w:w="262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Style w:val="237"/>
                <w:rFonts w:ascii="宋体" w:hAnsi="宋体" w:cs="宋体"/>
                <w:color w:val="auto"/>
                <w:sz w:val="18"/>
                <w:szCs w:val="18"/>
              </w:rPr>
            </w:pPr>
            <w:r>
              <w:rPr>
                <w:rStyle w:val="237"/>
                <w:rFonts w:hint="eastAsia" w:ascii="宋体" w:hAnsi="宋体" w:cs="宋体"/>
                <w:color w:val="auto"/>
                <w:sz w:val="18"/>
                <w:szCs w:val="18"/>
              </w:rPr>
              <w:t>4.2日周月工作机制（7）</w:t>
            </w: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Style w:val="237"/>
                <w:rFonts w:ascii="宋体" w:hAnsi="宋体" w:cs="宋体"/>
                <w:color w:val="auto"/>
                <w:sz w:val="18"/>
                <w:szCs w:val="18"/>
              </w:rPr>
            </w:pPr>
            <w:r>
              <w:rPr>
                <w:rStyle w:val="237"/>
                <w:rFonts w:hint="eastAsia" w:ascii="宋体" w:hAnsi="宋体" w:cs="宋体"/>
                <w:color w:val="auto"/>
                <w:sz w:val="18"/>
                <w:szCs w:val="18"/>
              </w:rPr>
              <w:t>*4.2.1日周月工作开展率及实报率</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jc w:val="center"/>
              <w:textAlignment w:val="center"/>
              <w:rPr>
                <w:rFonts w:ascii="宋体" w:hAnsi="宋体" w:cs="宋体"/>
                <w:sz w:val="18"/>
                <w:szCs w:val="18"/>
              </w:rPr>
            </w:pPr>
            <w:r>
              <w:rPr>
                <w:rFonts w:hint="eastAsia" w:ascii="宋体" w:hAnsi="宋体" w:cs="宋体"/>
                <w:kern w:val="0"/>
                <w:sz w:val="18"/>
                <w:szCs w:val="18"/>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85" w:hRule="atLeast"/>
          <w:jc w:val="center"/>
        </w:trPr>
        <w:tc>
          <w:tcPr>
            <w:tcW w:w="1276" w:type="dxa"/>
            <w:vMerge w:val="continue"/>
            <w:tcBorders>
              <w:top w:val="single" w:color="auto" w:sz="4" w:space="0"/>
              <w:left w:val="single" w:color="auto" w:sz="8" w:space="0"/>
              <w:bottom w:val="single" w:color="auto" w:sz="4" w:space="0"/>
              <w:right w:val="single" w:color="auto" w:sz="4" w:space="0"/>
            </w:tcBorders>
            <w:shd w:val="clear" w:color="auto" w:fill="auto"/>
            <w:vAlign w:val="center"/>
          </w:tcPr>
          <w:p>
            <w:pPr>
              <w:pStyle w:val="13"/>
              <w:jc w:val="center"/>
              <w:rPr>
                <w:rFonts w:ascii="宋体" w:hAnsi="宋体" w:cs="宋体"/>
                <w:sz w:val="18"/>
                <w:szCs w:val="18"/>
              </w:rPr>
            </w:pPr>
          </w:p>
        </w:tc>
        <w:tc>
          <w:tcPr>
            <w:tcW w:w="262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Style w:val="237"/>
                <w:rFonts w:ascii="宋体" w:hAnsi="宋体" w:cs="宋体"/>
                <w:color w:val="auto"/>
                <w:sz w:val="18"/>
                <w:szCs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Style w:val="237"/>
                <w:rFonts w:ascii="宋体" w:hAnsi="宋体" w:cs="宋体"/>
                <w:color w:val="auto"/>
                <w:sz w:val="18"/>
                <w:szCs w:val="18"/>
              </w:rPr>
            </w:pPr>
            <w:r>
              <w:rPr>
                <w:rStyle w:val="237"/>
                <w:rFonts w:hint="eastAsia" w:ascii="宋体" w:hAnsi="宋体" w:cs="宋体"/>
                <w:color w:val="auto"/>
                <w:sz w:val="18"/>
                <w:szCs w:val="18"/>
              </w:rPr>
              <w:t>4.2.2日周月工作记录</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jc w:val="center"/>
              <w:textAlignment w:val="center"/>
              <w:rPr>
                <w:rFonts w:ascii="宋体" w:hAnsi="宋体" w:cs="宋体"/>
                <w:sz w:val="18"/>
                <w:szCs w:val="18"/>
              </w:rPr>
            </w:pPr>
            <w:r>
              <w:rPr>
                <w:rFonts w:hint="eastAsia" w:ascii="宋体" w:hAnsi="宋体" w:cs="宋体"/>
                <w:kern w:val="0"/>
                <w:sz w:val="18"/>
                <w:szCs w:val="18"/>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85" w:hRule="atLeast"/>
          <w:jc w:val="center"/>
        </w:trPr>
        <w:tc>
          <w:tcPr>
            <w:tcW w:w="1276" w:type="dxa"/>
            <w:vMerge w:val="continue"/>
            <w:tcBorders>
              <w:top w:val="single" w:color="auto" w:sz="4" w:space="0"/>
              <w:left w:val="single" w:color="auto" w:sz="8" w:space="0"/>
              <w:bottom w:val="single" w:color="auto" w:sz="4" w:space="0"/>
              <w:right w:val="single" w:color="auto" w:sz="4" w:space="0"/>
            </w:tcBorders>
            <w:shd w:val="clear" w:color="auto" w:fill="auto"/>
            <w:vAlign w:val="center"/>
          </w:tcPr>
          <w:p>
            <w:pPr>
              <w:pStyle w:val="13"/>
              <w:jc w:val="center"/>
              <w:rPr>
                <w:rFonts w:ascii="宋体" w:hAnsi="宋体" w:cs="宋体"/>
                <w:sz w:val="18"/>
                <w:szCs w:val="18"/>
              </w:rPr>
            </w:pPr>
          </w:p>
        </w:tc>
        <w:tc>
          <w:tcPr>
            <w:tcW w:w="262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Style w:val="237"/>
                <w:rFonts w:ascii="宋体" w:hAnsi="宋体" w:cs="宋体"/>
                <w:color w:val="auto"/>
                <w:sz w:val="18"/>
                <w:szCs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Style w:val="237"/>
                <w:rFonts w:ascii="宋体" w:hAnsi="宋体" w:cs="宋体"/>
                <w:color w:val="auto"/>
                <w:sz w:val="18"/>
                <w:szCs w:val="18"/>
              </w:rPr>
            </w:pPr>
            <w:r>
              <w:rPr>
                <w:rStyle w:val="237"/>
                <w:rFonts w:hint="eastAsia" w:ascii="宋体" w:hAnsi="宋体" w:cs="宋体"/>
                <w:color w:val="auto"/>
                <w:sz w:val="18"/>
                <w:szCs w:val="18"/>
              </w:rPr>
              <w:t>*4.2.3有效发现问题，问题整改率</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jc w:val="center"/>
              <w:textAlignment w:val="center"/>
              <w:rPr>
                <w:rFonts w:ascii="宋体" w:hAnsi="宋体" w:cs="宋体"/>
                <w:sz w:val="18"/>
                <w:szCs w:val="18"/>
              </w:rPr>
            </w:pPr>
            <w:r>
              <w:rPr>
                <w:rFonts w:hint="eastAsia" w:ascii="宋体" w:hAnsi="宋体" w:cs="宋体"/>
                <w:kern w:val="0"/>
                <w:sz w:val="18"/>
                <w:szCs w:val="18"/>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85" w:hRule="atLeast"/>
          <w:jc w:val="center"/>
        </w:trPr>
        <w:tc>
          <w:tcPr>
            <w:tcW w:w="1276" w:type="dxa"/>
            <w:vMerge w:val="continue"/>
            <w:tcBorders>
              <w:top w:val="single" w:color="auto" w:sz="4" w:space="0"/>
              <w:left w:val="single" w:color="auto" w:sz="8" w:space="0"/>
              <w:bottom w:val="single" w:color="auto" w:sz="4" w:space="0"/>
              <w:right w:val="single" w:color="auto" w:sz="4" w:space="0"/>
            </w:tcBorders>
            <w:shd w:val="clear" w:color="auto" w:fill="auto"/>
            <w:vAlign w:val="center"/>
          </w:tcPr>
          <w:p>
            <w:pPr>
              <w:pStyle w:val="13"/>
              <w:jc w:val="center"/>
              <w:rPr>
                <w:rFonts w:ascii="宋体" w:hAnsi="宋体" w:cs="宋体"/>
                <w:sz w:val="18"/>
                <w:szCs w:val="18"/>
              </w:rPr>
            </w:pPr>
          </w:p>
        </w:tc>
        <w:tc>
          <w:tcPr>
            <w:tcW w:w="262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Style w:val="237"/>
                <w:rFonts w:ascii="宋体" w:hAnsi="宋体" w:cs="宋体"/>
                <w:color w:val="auto"/>
                <w:sz w:val="18"/>
                <w:szCs w:val="18"/>
              </w:rPr>
            </w:pPr>
            <w:r>
              <w:rPr>
                <w:rStyle w:val="237"/>
                <w:rFonts w:hint="eastAsia" w:ascii="宋体" w:hAnsi="宋体" w:cs="宋体"/>
                <w:color w:val="auto"/>
                <w:sz w:val="18"/>
                <w:szCs w:val="18"/>
              </w:rPr>
              <w:t>4.3食品安全自查（6）</w:t>
            </w: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Style w:val="237"/>
                <w:rFonts w:ascii="宋体" w:hAnsi="宋体" w:cs="宋体"/>
                <w:color w:val="auto"/>
                <w:sz w:val="18"/>
                <w:szCs w:val="18"/>
              </w:rPr>
            </w:pPr>
            <w:r>
              <w:rPr>
                <w:rStyle w:val="237"/>
                <w:rFonts w:hint="eastAsia" w:ascii="宋体" w:hAnsi="宋体" w:cs="宋体"/>
                <w:color w:val="auto"/>
                <w:sz w:val="18"/>
                <w:szCs w:val="18"/>
              </w:rPr>
              <w:t>4.3.1有效开展食品安全自查</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jc w:val="center"/>
              <w:textAlignment w:val="center"/>
              <w:rPr>
                <w:rFonts w:ascii="宋体" w:hAnsi="宋体" w:cs="宋体"/>
                <w:sz w:val="18"/>
                <w:szCs w:val="18"/>
              </w:rPr>
            </w:pPr>
            <w:r>
              <w:rPr>
                <w:rFonts w:hint="eastAsia" w:ascii="宋体" w:hAnsi="宋体" w:cs="宋体"/>
                <w:kern w:val="0"/>
                <w:sz w:val="18"/>
                <w:szCs w:val="18"/>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85" w:hRule="atLeast"/>
          <w:jc w:val="center"/>
        </w:trPr>
        <w:tc>
          <w:tcPr>
            <w:tcW w:w="1276" w:type="dxa"/>
            <w:vMerge w:val="continue"/>
            <w:tcBorders>
              <w:top w:val="single" w:color="auto" w:sz="4" w:space="0"/>
              <w:left w:val="single" w:color="auto" w:sz="8" w:space="0"/>
              <w:bottom w:val="single" w:color="auto" w:sz="4" w:space="0"/>
              <w:right w:val="single" w:color="auto" w:sz="4" w:space="0"/>
            </w:tcBorders>
            <w:shd w:val="clear" w:color="auto" w:fill="auto"/>
            <w:vAlign w:val="center"/>
          </w:tcPr>
          <w:p>
            <w:pPr>
              <w:pStyle w:val="13"/>
              <w:jc w:val="center"/>
              <w:rPr>
                <w:rFonts w:ascii="宋体" w:hAnsi="宋体" w:cs="宋体"/>
                <w:sz w:val="18"/>
                <w:szCs w:val="18"/>
              </w:rPr>
            </w:pPr>
          </w:p>
        </w:tc>
        <w:tc>
          <w:tcPr>
            <w:tcW w:w="262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Style w:val="237"/>
                <w:rFonts w:ascii="宋体" w:hAnsi="宋体" w:cs="宋体"/>
                <w:color w:val="auto"/>
                <w:sz w:val="18"/>
                <w:szCs w:val="18"/>
              </w:rPr>
            </w:pPr>
          </w:p>
        </w:tc>
        <w:tc>
          <w:tcPr>
            <w:tcW w:w="3637" w:type="dxa"/>
            <w:tcBorders>
              <w:top w:val="single" w:color="auto" w:sz="4" w:space="0"/>
              <w:left w:val="single" w:color="auto" w:sz="4" w:space="0"/>
              <w:bottom w:val="single" w:color="auto" w:sz="12" w:space="0"/>
              <w:right w:val="single" w:color="auto" w:sz="4" w:space="0"/>
            </w:tcBorders>
            <w:shd w:val="clear" w:color="auto" w:fill="auto"/>
            <w:vAlign w:val="center"/>
          </w:tcPr>
          <w:p>
            <w:pPr>
              <w:widowControl/>
              <w:jc w:val="left"/>
              <w:textAlignment w:val="center"/>
              <w:rPr>
                <w:rStyle w:val="237"/>
                <w:rFonts w:hint="eastAsia" w:ascii="宋体" w:hAnsi="宋体" w:cs="宋体"/>
                <w:color w:val="auto"/>
                <w:sz w:val="18"/>
                <w:szCs w:val="18"/>
              </w:rPr>
            </w:pPr>
            <w:r>
              <w:rPr>
                <w:rStyle w:val="237"/>
                <w:rFonts w:hint="eastAsia" w:ascii="宋体" w:hAnsi="宋体" w:cs="宋体"/>
                <w:color w:val="auto"/>
                <w:sz w:val="18"/>
                <w:szCs w:val="18"/>
              </w:rPr>
              <w:t>4.3.2报告食品安全工作情况并提出改进措施</w:t>
            </w:r>
          </w:p>
        </w:tc>
        <w:tc>
          <w:tcPr>
            <w:tcW w:w="798" w:type="dxa"/>
            <w:tcBorders>
              <w:top w:val="single" w:color="auto" w:sz="4" w:space="0"/>
              <w:left w:val="single" w:color="auto" w:sz="4" w:space="0"/>
              <w:bottom w:val="single" w:color="auto" w:sz="12" w:space="0"/>
              <w:right w:val="single" w:color="auto" w:sz="8" w:space="0"/>
            </w:tcBorders>
            <w:shd w:val="clear" w:color="auto" w:fill="auto"/>
            <w:vAlign w:val="center"/>
          </w:tcPr>
          <w:p>
            <w:pPr>
              <w:widowControl/>
              <w:jc w:val="center"/>
              <w:textAlignment w:val="center"/>
              <w:rPr>
                <w:rFonts w:ascii="宋体" w:hAnsi="宋体" w:cs="宋体"/>
                <w:sz w:val="18"/>
                <w:szCs w:val="18"/>
              </w:rPr>
            </w:pPr>
            <w:r>
              <w:rPr>
                <w:rFonts w:hint="eastAsia" w:ascii="宋体" w:hAnsi="宋体" w:cs="宋体"/>
                <w:kern w:val="0"/>
                <w:sz w:val="18"/>
                <w:szCs w:val="18"/>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cantSplit/>
          <w:trHeight w:val="85" w:hRule="atLeast"/>
          <w:jc w:val="center"/>
        </w:trPr>
        <w:tc>
          <w:tcPr>
            <w:tcW w:w="1276" w:type="dxa"/>
            <w:vMerge w:val="continue"/>
            <w:tcBorders>
              <w:top w:val="single" w:color="auto" w:sz="4" w:space="0"/>
              <w:left w:val="single" w:color="auto" w:sz="8" w:space="0"/>
              <w:bottom w:val="single" w:color="auto" w:sz="4" w:space="0"/>
              <w:right w:val="single" w:color="auto" w:sz="4" w:space="0"/>
            </w:tcBorders>
            <w:shd w:val="clear" w:color="auto" w:fill="auto"/>
            <w:vAlign w:val="center"/>
          </w:tcPr>
          <w:p>
            <w:pPr>
              <w:pStyle w:val="13"/>
              <w:jc w:val="center"/>
              <w:rPr>
                <w:rFonts w:ascii="宋体" w:hAnsi="宋体" w:cs="宋体"/>
                <w:sz w:val="18"/>
                <w:szCs w:val="18"/>
              </w:rPr>
            </w:pP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Style w:val="237"/>
                <w:rFonts w:ascii="宋体" w:hAnsi="宋体" w:cs="宋体"/>
                <w:color w:val="auto"/>
                <w:sz w:val="18"/>
                <w:szCs w:val="18"/>
              </w:rPr>
            </w:pPr>
            <w:r>
              <w:rPr>
                <w:rStyle w:val="237"/>
                <w:rFonts w:hint="eastAsia" w:ascii="宋体" w:hAnsi="宋体" w:cs="宋体"/>
                <w:color w:val="auto"/>
                <w:sz w:val="18"/>
                <w:szCs w:val="18"/>
              </w:rPr>
              <w:t>*4.4不安全食品召回（4）</w:t>
            </w:r>
          </w:p>
        </w:tc>
        <w:tc>
          <w:tcPr>
            <w:tcW w:w="3637" w:type="dxa"/>
            <w:tcBorders>
              <w:top w:val="single" w:color="auto" w:sz="12" w:space="0"/>
              <w:left w:val="single" w:color="auto" w:sz="4" w:space="0"/>
              <w:bottom w:val="single" w:color="auto" w:sz="4" w:space="0"/>
              <w:right w:val="single" w:color="auto" w:sz="4" w:space="0"/>
            </w:tcBorders>
            <w:shd w:val="clear" w:color="auto" w:fill="auto"/>
            <w:vAlign w:val="center"/>
          </w:tcPr>
          <w:p>
            <w:pPr>
              <w:widowControl/>
              <w:jc w:val="left"/>
              <w:textAlignment w:val="center"/>
              <w:rPr>
                <w:rStyle w:val="237"/>
                <w:rFonts w:hint="eastAsia" w:ascii="宋体" w:hAnsi="宋体" w:cs="宋体"/>
                <w:color w:val="auto"/>
                <w:sz w:val="18"/>
                <w:szCs w:val="18"/>
              </w:rPr>
            </w:pPr>
            <w:r>
              <w:rPr>
                <w:rStyle w:val="237"/>
                <w:rFonts w:hint="eastAsia" w:ascii="宋体" w:hAnsi="宋体" w:cs="宋体"/>
                <w:color w:val="auto"/>
                <w:sz w:val="18"/>
                <w:szCs w:val="18"/>
              </w:rPr>
              <w:t>*4.4.1实施主动召回，流程合规</w:t>
            </w:r>
          </w:p>
        </w:tc>
        <w:tc>
          <w:tcPr>
            <w:tcW w:w="798" w:type="dxa"/>
            <w:tcBorders>
              <w:top w:val="single" w:color="auto" w:sz="12" w:space="0"/>
              <w:left w:val="single" w:color="auto" w:sz="4" w:space="0"/>
              <w:bottom w:val="single" w:color="auto" w:sz="4" w:space="0"/>
              <w:right w:val="single" w:color="auto" w:sz="8" w:space="0"/>
            </w:tcBorders>
            <w:shd w:val="clear" w:color="auto" w:fill="auto"/>
            <w:vAlign w:val="center"/>
          </w:tcPr>
          <w:p>
            <w:pPr>
              <w:widowControl/>
              <w:jc w:val="center"/>
              <w:textAlignment w:val="center"/>
              <w:rPr>
                <w:rFonts w:ascii="宋体" w:hAnsi="宋体" w:cs="宋体"/>
                <w:sz w:val="18"/>
                <w:szCs w:val="18"/>
              </w:rPr>
            </w:pPr>
            <w:r>
              <w:rPr>
                <w:rFonts w:hint="eastAsia" w:ascii="宋体" w:hAnsi="宋体" w:cs="宋体"/>
                <w:kern w:val="0"/>
                <w:sz w:val="18"/>
                <w:szCs w:val="18"/>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85" w:hRule="atLeast"/>
          <w:jc w:val="center"/>
        </w:trPr>
        <w:tc>
          <w:tcPr>
            <w:tcW w:w="1276"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pPr>
              <w:pStyle w:val="13"/>
              <w:jc w:val="center"/>
              <w:rPr>
                <w:rFonts w:ascii="宋体" w:hAnsi="宋体" w:cs="宋体"/>
                <w:sz w:val="18"/>
                <w:szCs w:val="18"/>
              </w:rPr>
            </w:pPr>
            <w:r>
              <w:rPr>
                <w:rFonts w:hint="eastAsia" w:ascii="宋体" w:hAnsi="宋体" w:cs="宋体"/>
                <w:sz w:val="18"/>
                <w:szCs w:val="18"/>
              </w:rPr>
              <w:t>*5.食品安全事故应急处置（8）</w:t>
            </w: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rPr>
                <w:rFonts w:ascii="宋体" w:hAnsi="宋体" w:cs="宋体"/>
                <w:sz w:val="18"/>
                <w:szCs w:val="18"/>
              </w:rPr>
            </w:pPr>
            <w:r>
              <w:rPr>
                <w:rFonts w:hint="eastAsia" w:ascii="宋体" w:hAnsi="宋体" w:cs="宋体"/>
                <w:sz w:val="18"/>
                <w:szCs w:val="18"/>
              </w:rPr>
              <w:t>*5.1食品安全事故应急处置方案（4）</w:t>
            </w: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宋体" w:hAnsi="宋体" w:cs="宋体"/>
                <w:sz w:val="18"/>
                <w:szCs w:val="18"/>
              </w:rPr>
            </w:pPr>
            <w:r>
              <w:rPr>
                <w:rStyle w:val="237"/>
                <w:rFonts w:hint="eastAsia" w:ascii="宋体" w:hAnsi="宋体" w:cs="宋体"/>
                <w:color w:val="auto"/>
                <w:sz w:val="18"/>
                <w:szCs w:val="18"/>
              </w:rPr>
              <w:t>*5.1.1</w:t>
            </w:r>
            <w:r>
              <w:rPr>
                <w:rStyle w:val="238"/>
                <w:rFonts w:hint="eastAsia" w:ascii="宋体" w:hAnsi="宋体" w:eastAsia="宋体" w:cs="宋体"/>
                <w:color w:val="auto"/>
                <w:sz w:val="18"/>
                <w:szCs w:val="18"/>
              </w:rPr>
              <w:t>组织拟（修）定食品安全事故应急处置方案</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jc w:val="center"/>
              <w:textAlignment w:val="center"/>
              <w:rPr>
                <w:rFonts w:ascii="宋体" w:hAnsi="宋体" w:cs="宋体"/>
                <w:sz w:val="18"/>
                <w:szCs w:val="18"/>
              </w:rPr>
            </w:pPr>
            <w:r>
              <w:rPr>
                <w:rFonts w:hint="eastAsia" w:ascii="宋体" w:hAnsi="宋体" w:cs="宋体"/>
                <w:kern w:val="0"/>
                <w:sz w:val="18"/>
                <w:szCs w:val="18"/>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85" w:hRule="atLeast"/>
          <w:jc w:val="center"/>
        </w:trPr>
        <w:tc>
          <w:tcPr>
            <w:tcW w:w="1276" w:type="dxa"/>
            <w:vMerge w:val="continue"/>
            <w:tcBorders>
              <w:top w:val="single" w:color="auto" w:sz="4" w:space="0"/>
              <w:left w:val="single" w:color="auto" w:sz="8" w:space="0"/>
              <w:bottom w:val="single" w:color="auto" w:sz="4" w:space="0"/>
              <w:right w:val="single" w:color="auto" w:sz="4" w:space="0"/>
            </w:tcBorders>
            <w:shd w:val="clear" w:color="auto" w:fill="auto"/>
            <w:vAlign w:val="center"/>
          </w:tcPr>
          <w:p>
            <w:pPr>
              <w:pStyle w:val="13"/>
              <w:jc w:val="center"/>
              <w:rPr>
                <w:rFonts w:ascii="宋体" w:hAnsi="宋体" w:cs="宋体"/>
                <w:sz w:val="18"/>
                <w:szCs w:val="18"/>
              </w:rPr>
            </w:pP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rPr>
                <w:rFonts w:ascii="宋体" w:hAnsi="宋体" w:cs="宋体"/>
                <w:sz w:val="18"/>
                <w:szCs w:val="18"/>
              </w:rPr>
            </w:pPr>
            <w:r>
              <w:rPr>
                <w:rFonts w:hint="eastAsia" w:ascii="宋体" w:hAnsi="宋体" w:cs="宋体"/>
                <w:sz w:val="18"/>
                <w:szCs w:val="18"/>
              </w:rPr>
              <w:t>*5.2食</w:t>
            </w:r>
            <w:r>
              <w:rPr>
                <w:rFonts w:hint="eastAsia" w:ascii="宋体" w:hAnsi="宋体" w:cs="宋体"/>
                <w:kern w:val="2"/>
                <w:sz w:val="18"/>
                <w:szCs w:val="18"/>
              </w:rPr>
              <w:t>品安全事故应急演练（4）</w:t>
            </w: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宋体" w:hAnsi="宋体" w:cs="宋体"/>
                <w:sz w:val="18"/>
                <w:szCs w:val="18"/>
              </w:rPr>
            </w:pPr>
            <w:r>
              <w:rPr>
                <w:rStyle w:val="237"/>
                <w:rFonts w:hint="eastAsia" w:ascii="宋体" w:hAnsi="宋体" w:cs="宋体"/>
                <w:color w:val="auto"/>
                <w:sz w:val="18"/>
                <w:szCs w:val="18"/>
              </w:rPr>
              <w:t>*5.2.1</w:t>
            </w:r>
            <w:r>
              <w:rPr>
                <w:rStyle w:val="238"/>
                <w:rFonts w:hint="eastAsia" w:ascii="宋体" w:hAnsi="宋体" w:eastAsia="宋体" w:cs="宋体"/>
                <w:color w:val="auto"/>
                <w:sz w:val="18"/>
                <w:szCs w:val="18"/>
              </w:rPr>
              <w:t>开展应急演练，达到预期效果</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jc w:val="center"/>
              <w:textAlignment w:val="center"/>
              <w:rPr>
                <w:rFonts w:ascii="宋体" w:hAnsi="宋体" w:cs="宋体"/>
                <w:sz w:val="18"/>
                <w:szCs w:val="18"/>
              </w:rPr>
            </w:pPr>
            <w:r>
              <w:rPr>
                <w:rFonts w:hint="eastAsia" w:ascii="宋体" w:hAnsi="宋体" w:cs="宋体"/>
                <w:kern w:val="0"/>
                <w:sz w:val="18"/>
                <w:szCs w:val="18"/>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85" w:hRule="atLeast"/>
          <w:jc w:val="center"/>
        </w:trPr>
        <w:tc>
          <w:tcPr>
            <w:tcW w:w="1276"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pPr>
              <w:pStyle w:val="13"/>
              <w:keepNext/>
              <w:jc w:val="center"/>
              <w:rPr>
                <w:rFonts w:ascii="宋体" w:hAnsi="宋体" w:cs="宋体"/>
                <w:sz w:val="18"/>
                <w:szCs w:val="18"/>
              </w:rPr>
            </w:pPr>
            <w:r>
              <w:rPr>
                <w:rFonts w:hint="eastAsia" w:ascii="宋体" w:hAnsi="宋体" w:cs="宋体"/>
                <w:sz w:val="18"/>
                <w:szCs w:val="18"/>
              </w:rPr>
              <w:t>6.履职效果（24）</w:t>
            </w:r>
          </w:p>
        </w:tc>
        <w:tc>
          <w:tcPr>
            <w:tcW w:w="262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rPr>
                <w:rFonts w:ascii="宋体" w:hAnsi="宋体" w:cs="宋体"/>
                <w:sz w:val="18"/>
                <w:szCs w:val="18"/>
              </w:rPr>
            </w:pPr>
            <w:r>
              <w:rPr>
                <w:rFonts w:hint="eastAsia" w:ascii="宋体" w:hAnsi="宋体" w:cs="宋体"/>
                <w:sz w:val="18"/>
                <w:szCs w:val="18"/>
              </w:rPr>
              <w:t>6.1经济效益（2.5）</w:t>
            </w: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宋体" w:hAnsi="宋体" w:cs="宋体"/>
                <w:sz w:val="18"/>
                <w:szCs w:val="18"/>
              </w:rPr>
            </w:pPr>
            <w:r>
              <w:rPr>
                <w:rStyle w:val="237"/>
                <w:rFonts w:hint="eastAsia" w:ascii="宋体" w:hAnsi="宋体" w:cs="宋体"/>
                <w:color w:val="auto"/>
                <w:sz w:val="18"/>
                <w:szCs w:val="18"/>
              </w:rPr>
              <w:t>6.1.1</w:t>
            </w:r>
            <w:r>
              <w:rPr>
                <w:rStyle w:val="238"/>
                <w:rFonts w:hint="eastAsia" w:ascii="宋体" w:hAnsi="宋体" w:eastAsia="宋体" w:cs="宋体"/>
                <w:color w:val="auto"/>
                <w:sz w:val="18"/>
                <w:szCs w:val="18"/>
              </w:rPr>
              <w:t>主营业务收入</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jc w:val="center"/>
              <w:textAlignment w:val="center"/>
              <w:rPr>
                <w:rFonts w:ascii="宋体" w:hAnsi="宋体" w:cs="宋体"/>
                <w:sz w:val="18"/>
                <w:szCs w:val="18"/>
              </w:rPr>
            </w:pPr>
            <w:r>
              <w:rPr>
                <w:rFonts w:hint="eastAsia" w:ascii="宋体" w:hAnsi="宋体" w:cs="宋体"/>
                <w:kern w:val="0"/>
                <w:sz w:val="18"/>
                <w:szCs w:val="18"/>
              </w:rPr>
              <w:t>0.5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85" w:hRule="atLeast"/>
          <w:jc w:val="center"/>
        </w:trPr>
        <w:tc>
          <w:tcPr>
            <w:tcW w:w="1276" w:type="dxa"/>
            <w:vMerge w:val="continue"/>
            <w:tcBorders>
              <w:top w:val="single" w:color="auto" w:sz="4" w:space="0"/>
              <w:left w:val="single" w:color="auto" w:sz="8" w:space="0"/>
              <w:bottom w:val="single" w:color="auto" w:sz="4" w:space="0"/>
              <w:right w:val="single" w:color="auto" w:sz="4" w:space="0"/>
            </w:tcBorders>
            <w:shd w:val="clear" w:color="auto" w:fill="auto"/>
            <w:vAlign w:val="center"/>
          </w:tcPr>
          <w:p>
            <w:pPr>
              <w:pStyle w:val="13"/>
              <w:jc w:val="center"/>
              <w:rPr>
                <w:rFonts w:ascii="宋体" w:hAnsi="宋体" w:cs="宋体"/>
                <w:sz w:val="18"/>
                <w:szCs w:val="18"/>
              </w:rPr>
            </w:pPr>
          </w:p>
        </w:tc>
        <w:tc>
          <w:tcPr>
            <w:tcW w:w="262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13"/>
              <w:rPr>
                <w:rFonts w:ascii="宋体" w:hAnsi="宋体" w:cs="宋体"/>
                <w:sz w:val="18"/>
                <w:szCs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宋体" w:hAnsi="宋体" w:cs="宋体"/>
                <w:sz w:val="18"/>
                <w:szCs w:val="18"/>
              </w:rPr>
            </w:pPr>
            <w:r>
              <w:rPr>
                <w:rStyle w:val="237"/>
                <w:rFonts w:hint="eastAsia" w:ascii="宋体" w:hAnsi="宋体" w:cs="宋体"/>
                <w:color w:val="auto"/>
                <w:sz w:val="18"/>
                <w:szCs w:val="18"/>
              </w:rPr>
              <w:t>6.1.2</w:t>
            </w:r>
            <w:r>
              <w:rPr>
                <w:rStyle w:val="238"/>
                <w:rFonts w:hint="eastAsia" w:ascii="宋体" w:hAnsi="宋体" w:eastAsia="宋体" w:cs="宋体"/>
                <w:color w:val="auto"/>
                <w:sz w:val="18"/>
                <w:szCs w:val="18"/>
              </w:rPr>
              <w:t>新产品、技术创新效益</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jc w:val="center"/>
              <w:textAlignment w:val="center"/>
              <w:rPr>
                <w:rFonts w:ascii="宋体" w:hAnsi="宋体" w:cs="宋体"/>
                <w:sz w:val="18"/>
                <w:szCs w:val="18"/>
              </w:rPr>
            </w:pPr>
            <w:r>
              <w:rPr>
                <w:rFonts w:hint="eastAsia" w:ascii="宋体" w:hAnsi="宋体" w:cs="宋体"/>
                <w:kern w:val="0"/>
                <w:sz w:val="18"/>
                <w:szCs w:val="18"/>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85" w:hRule="atLeast"/>
          <w:jc w:val="center"/>
        </w:trPr>
        <w:tc>
          <w:tcPr>
            <w:tcW w:w="1276" w:type="dxa"/>
            <w:vMerge w:val="continue"/>
            <w:tcBorders>
              <w:top w:val="single" w:color="auto" w:sz="4" w:space="0"/>
              <w:left w:val="single" w:color="auto" w:sz="8" w:space="0"/>
              <w:bottom w:val="single" w:color="auto" w:sz="4" w:space="0"/>
              <w:right w:val="single" w:color="auto" w:sz="4" w:space="0"/>
            </w:tcBorders>
            <w:shd w:val="clear" w:color="auto" w:fill="auto"/>
            <w:vAlign w:val="center"/>
          </w:tcPr>
          <w:p>
            <w:pPr>
              <w:pStyle w:val="13"/>
              <w:jc w:val="center"/>
              <w:rPr>
                <w:rFonts w:ascii="宋体" w:hAnsi="宋体" w:cs="宋体"/>
                <w:sz w:val="18"/>
                <w:szCs w:val="18"/>
              </w:rPr>
            </w:pPr>
          </w:p>
        </w:tc>
        <w:tc>
          <w:tcPr>
            <w:tcW w:w="262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13"/>
              <w:rPr>
                <w:rFonts w:ascii="宋体" w:hAnsi="宋体" w:cs="宋体"/>
                <w:sz w:val="18"/>
                <w:szCs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宋体" w:hAnsi="宋体" w:cs="宋体"/>
                <w:sz w:val="18"/>
                <w:szCs w:val="18"/>
              </w:rPr>
            </w:pPr>
            <w:r>
              <w:rPr>
                <w:rStyle w:val="237"/>
                <w:rFonts w:hint="eastAsia" w:ascii="宋体" w:hAnsi="宋体" w:cs="宋体"/>
                <w:color w:val="auto"/>
                <w:sz w:val="18"/>
                <w:szCs w:val="18"/>
              </w:rPr>
              <w:t>6.1.3</w:t>
            </w:r>
            <w:r>
              <w:rPr>
                <w:rStyle w:val="238"/>
                <w:rFonts w:hint="eastAsia" w:ascii="宋体" w:hAnsi="宋体" w:eastAsia="宋体" w:cs="宋体"/>
                <w:color w:val="auto"/>
                <w:sz w:val="18"/>
                <w:szCs w:val="18"/>
              </w:rPr>
              <w:t>有效控制经济损失</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jc w:val="center"/>
              <w:textAlignment w:val="center"/>
              <w:rPr>
                <w:rFonts w:ascii="宋体" w:hAnsi="宋体" w:cs="宋体"/>
                <w:sz w:val="18"/>
                <w:szCs w:val="18"/>
              </w:rPr>
            </w:pPr>
            <w:r>
              <w:rPr>
                <w:rFonts w:hint="eastAsia" w:ascii="宋体" w:hAnsi="宋体" w:cs="宋体"/>
                <w:kern w:val="0"/>
                <w:sz w:val="18"/>
                <w:szCs w:val="18"/>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85" w:hRule="atLeast"/>
          <w:jc w:val="center"/>
        </w:trPr>
        <w:tc>
          <w:tcPr>
            <w:tcW w:w="1276" w:type="dxa"/>
            <w:vMerge w:val="continue"/>
            <w:tcBorders>
              <w:top w:val="single" w:color="auto" w:sz="4" w:space="0"/>
              <w:left w:val="single" w:color="auto" w:sz="8" w:space="0"/>
              <w:bottom w:val="single" w:color="auto" w:sz="4" w:space="0"/>
              <w:right w:val="single" w:color="auto" w:sz="4" w:space="0"/>
            </w:tcBorders>
            <w:shd w:val="clear" w:color="auto" w:fill="auto"/>
            <w:vAlign w:val="center"/>
          </w:tcPr>
          <w:p>
            <w:pPr>
              <w:pStyle w:val="13"/>
              <w:jc w:val="center"/>
              <w:rPr>
                <w:rFonts w:ascii="宋体" w:hAnsi="宋体" w:cs="宋体"/>
                <w:sz w:val="18"/>
                <w:szCs w:val="18"/>
              </w:rPr>
            </w:pPr>
          </w:p>
        </w:tc>
        <w:tc>
          <w:tcPr>
            <w:tcW w:w="262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3"/>
              <w:rPr>
                <w:rFonts w:ascii="宋体" w:hAnsi="宋体" w:cs="宋体"/>
                <w:sz w:val="18"/>
                <w:szCs w:val="18"/>
              </w:rPr>
            </w:pPr>
            <w:r>
              <w:rPr>
                <w:rFonts w:hint="eastAsia" w:ascii="宋体" w:hAnsi="宋体" w:cs="宋体"/>
                <w:sz w:val="18"/>
                <w:szCs w:val="18"/>
              </w:rPr>
              <w:t>6.2监督检查（5.5）</w:t>
            </w: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宋体" w:hAnsi="宋体" w:cs="宋体"/>
                <w:sz w:val="18"/>
                <w:szCs w:val="18"/>
              </w:rPr>
            </w:pPr>
            <w:r>
              <w:rPr>
                <w:rStyle w:val="237"/>
                <w:rFonts w:hint="eastAsia" w:ascii="宋体" w:hAnsi="宋体" w:cs="宋体"/>
                <w:color w:val="auto"/>
                <w:sz w:val="18"/>
                <w:szCs w:val="18"/>
              </w:rPr>
              <w:t>6.2.1</w:t>
            </w:r>
            <w:r>
              <w:rPr>
                <w:rStyle w:val="238"/>
                <w:rFonts w:hint="eastAsia" w:ascii="宋体" w:hAnsi="宋体" w:eastAsia="宋体" w:cs="宋体"/>
                <w:color w:val="auto"/>
                <w:sz w:val="18"/>
                <w:szCs w:val="18"/>
              </w:rPr>
              <w:t>配合各级各类监督检查</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jc w:val="center"/>
              <w:textAlignment w:val="center"/>
              <w:rPr>
                <w:rFonts w:ascii="宋体" w:hAnsi="宋体" w:cs="宋体"/>
                <w:sz w:val="18"/>
                <w:szCs w:val="18"/>
              </w:rPr>
            </w:pPr>
            <w:r>
              <w:rPr>
                <w:rFonts w:hint="eastAsia" w:ascii="宋体" w:hAnsi="宋体" w:cs="宋体"/>
                <w:kern w:val="0"/>
                <w:sz w:val="18"/>
                <w:szCs w:val="18"/>
              </w:rPr>
              <w:t>1.5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85" w:hRule="atLeast"/>
          <w:jc w:val="center"/>
        </w:trPr>
        <w:tc>
          <w:tcPr>
            <w:tcW w:w="1276" w:type="dxa"/>
            <w:vMerge w:val="continue"/>
            <w:tcBorders>
              <w:top w:val="single" w:color="auto" w:sz="4" w:space="0"/>
              <w:left w:val="single" w:color="auto" w:sz="8" w:space="0"/>
              <w:bottom w:val="single" w:color="auto" w:sz="4" w:space="0"/>
              <w:right w:val="single" w:color="auto" w:sz="4" w:space="0"/>
            </w:tcBorders>
            <w:shd w:val="clear" w:color="auto" w:fill="auto"/>
            <w:vAlign w:val="center"/>
          </w:tcPr>
          <w:p>
            <w:pPr>
              <w:pStyle w:val="13"/>
              <w:jc w:val="center"/>
              <w:rPr>
                <w:rFonts w:ascii="宋体" w:hAnsi="宋体" w:cs="宋体"/>
                <w:sz w:val="18"/>
                <w:szCs w:val="18"/>
              </w:rPr>
            </w:pPr>
          </w:p>
        </w:tc>
        <w:tc>
          <w:tcPr>
            <w:tcW w:w="262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13"/>
              <w:rPr>
                <w:rFonts w:ascii="宋体" w:hAnsi="宋体" w:cs="宋体"/>
                <w:sz w:val="18"/>
                <w:szCs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宋体" w:hAnsi="宋体" w:cs="宋体"/>
                <w:sz w:val="18"/>
                <w:szCs w:val="18"/>
              </w:rPr>
            </w:pPr>
            <w:r>
              <w:rPr>
                <w:rStyle w:val="237"/>
                <w:rFonts w:hint="eastAsia" w:ascii="宋体" w:hAnsi="宋体" w:cs="宋体"/>
                <w:color w:val="auto"/>
                <w:sz w:val="18"/>
                <w:szCs w:val="18"/>
              </w:rPr>
              <w:t>6.2.2</w:t>
            </w:r>
            <w:r>
              <w:rPr>
                <w:rStyle w:val="238"/>
                <w:rFonts w:hint="eastAsia" w:ascii="宋体" w:hAnsi="宋体" w:eastAsia="宋体" w:cs="宋体"/>
                <w:color w:val="auto"/>
                <w:sz w:val="18"/>
                <w:szCs w:val="18"/>
              </w:rPr>
              <w:t>问题整改闭环率</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jc w:val="center"/>
              <w:textAlignment w:val="center"/>
              <w:rPr>
                <w:rFonts w:ascii="宋体" w:hAnsi="宋体" w:cs="宋体"/>
                <w:sz w:val="18"/>
                <w:szCs w:val="18"/>
              </w:rPr>
            </w:pPr>
            <w:r>
              <w:rPr>
                <w:rFonts w:hint="eastAsia" w:ascii="宋体" w:hAnsi="宋体" w:cs="宋体"/>
                <w:kern w:val="0"/>
                <w:sz w:val="18"/>
                <w:szCs w:val="18"/>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85" w:hRule="atLeast"/>
          <w:jc w:val="center"/>
        </w:trPr>
        <w:tc>
          <w:tcPr>
            <w:tcW w:w="1276" w:type="dxa"/>
            <w:vMerge w:val="continue"/>
            <w:tcBorders>
              <w:top w:val="single" w:color="auto" w:sz="4" w:space="0"/>
              <w:left w:val="single" w:color="auto" w:sz="8" w:space="0"/>
              <w:bottom w:val="single" w:color="auto" w:sz="4" w:space="0"/>
              <w:right w:val="single" w:color="auto" w:sz="4" w:space="0"/>
            </w:tcBorders>
            <w:shd w:val="clear" w:color="auto" w:fill="auto"/>
            <w:vAlign w:val="center"/>
          </w:tcPr>
          <w:p>
            <w:pPr>
              <w:pStyle w:val="13"/>
              <w:jc w:val="center"/>
              <w:rPr>
                <w:rFonts w:ascii="宋体" w:hAnsi="宋体" w:cs="宋体"/>
                <w:sz w:val="18"/>
                <w:szCs w:val="18"/>
              </w:rPr>
            </w:pPr>
          </w:p>
        </w:tc>
        <w:tc>
          <w:tcPr>
            <w:tcW w:w="262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3"/>
              <w:rPr>
                <w:rFonts w:ascii="宋体" w:hAnsi="宋体" w:cs="宋体"/>
                <w:sz w:val="18"/>
                <w:szCs w:val="18"/>
              </w:rPr>
            </w:pPr>
            <w:r>
              <w:rPr>
                <w:rFonts w:hint="eastAsia" w:ascii="宋体" w:hAnsi="宋体" w:cs="宋体"/>
                <w:sz w:val="18"/>
                <w:szCs w:val="18"/>
              </w:rPr>
              <w:t>6.3抽查检验（8）</w:t>
            </w: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宋体" w:hAnsi="宋体" w:cs="宋体"/>
                <w:sz w:val="18"/>
                <w:szCs w:val="18"/>
              </w:rPr>
            </w:pPr>
            <w:r>
              <w:rPr>
                <w:rStyle w:val="237"/>
                <w:rFonts w:hint="eastAsia" w:ascii="宋体" w:hAnsi="宋体" w:cs="宋体"/>
                <w:color w:val="auto"/>
                <w:sz w:val="18"/>
                <w:szCs w:val="18"/>
              </w:rPr>
              <w:t>*6.3.1</w:t>
            </w:r>
            <w:r>
              <w:rPr>
                <w:rStyle w:val="238"/>
                <w:rFonts w:hint="eastAsia" w:ascii="宋体" w:hAnsi="宋体" w:eastAsia="宋体" w:cs="宋体"/>
                <w:color w:val="auto"/>
                <w:sz w:val="18"/>
                <w:szCs w:val="18"/>
              </w:rPr>
              <w:t>监督抽检</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jc w:val="center"/>
              <w:textAlignment w:val="center"/>
              <w:rPr>
                <w:rFonts w:ascii="宋体" w:hAnsi="宋体" w:cs="宋体"/>
                <w:sz w:val="18"/>
                <w:szCs w:val="18"/>
              </w:rPr>
            </w:pPr>
            <w:r>
              <w:rPr>
                <w:rFonts w:hint="eastAsia" w:ascii="宋体" w:hAnsi="宋体" w:cs="宋体"/>
                <w:kern w:val="0"/>
                <w:sz w:val="18"/>
                <w:szCs w:val="18"/>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85" w:hRule="atLeast"/>
          <w:jc w:val="center"/>
        </w:trPr>
        <w:tc>
          <w:tcPr>
            <w:tcW w:w="1276" w:type="dxa"/>
            <w:vMerge w:val="continue"/>
            <w:tcBorders>
              <w:top w:val="single" w:color="auto" w:sz="4" w:space="0"/>
              <w:left w:val="single" w:color="auto" w:sz="8" w:space="0"/>
              <w:bottom w:val="single" w:color="auto" w:sz="4" w:space="0"/>
              <w:right w:val="single" w:color="auto" w:sz="4" w:space="0"/>
            </w:tcBorders>
            <w:shd w:val="clear" w:color="auto" w:fill="auto"/>
            <w:vAlign w:val="center"/>
          </w:tcPr>
          <w:p>
            <w:pPr>
              <w:pStyle w:val="13"/>
              <w:jc w:val="center"/>
              <w:rPr>
                <w:rFonts w:ascii="宋体" w:hAnsi="宋体" w:cs="宋体"/>
                <w:sz w:val="18"/>
                <w:szCs w:val="18"/>
              </w:rPr>
            </w:pPr>
          </w:p>
        </w:tc>
        <w:tc>
          <w:tcPr>
            <w:tcW w:w="262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13"/>
              <w:rPr>
                <w:rFonts w:ascii="宋体" w:hAnsi="宋体" w:cs="宋体"/>
                <w:sz w:val="18"/>
                <w:szCs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宋体" w:hAnsi="宋体" w:cs="宋体"/>
                <w:sz w:val="18"/>
                <w:szCs w:val="18"/>
              </w:rPr>
            </w:pPr>
            <w:r>
              <w:rPr>
                <w:rStyle w:val="237"/>
                <w:rFonts w:hint="eastAsia" w:ascii="宋体" w:hAnsi="宋体" w:cs="宋体"/>
                <w:color w:val="auto"/>
                <w:sz w:val="18"/>
                <w:szCs w:val="18"/>
              </w:rPr>
              <w:t>6.3.2</w:t>
            </w:r>
            <w:r>
              <w:rPr>
                <w:rStyle w:val="238"/>
                <w:rFonts w:hint="eastAsia" w:ascii="宋体" w:hAnsi="宋体" w:eastAsia="宋体" w:cs="宋体"/>
                <w:color w:val="auto"/>
                <w:sz w:val="18"/>
                <w:szCs w:val="18"/>
              </w:rPr>
              <w:t>风险监测</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jc w:val="center"/>
              <w:textAlignment w:val="center"/>
              <w:rPr>
                <w:rFonts w:ascii="宋体" w:hAnsi="宋体" w:cs="宋体"/>
                <w:sz w:val="18"/>
                <w:szCs w:val="18"/>
              </w:rPr>
            </w:pPr>
            <w:r>
              <w:rPr>
                <w:rFonts w:hint="eastAsia" w:ascii="宋体" w:hAnsi="宋体" w:cs="宋体"/>
                <w:kern w:val="0"/>
                <w:sz w:val="18"/>
                <w:szCs w:val="18"/>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85" w:hRule="atLeast"/>
          <w:jc w:val="center"/>
        </w:trPr>
        <w:tc>
          <w:tcPr>
            <w:tcW w:w="1276" w:type="dxa"/>
            <w:vMerge w:val="continue"/>
            <w:tcBorders>
              <w:top w:val="single" w:color="auto" w:sz="4" w:space="0"/>
              <w:left w:val="single" w:color="auto" w:sz="8" w:space="0"/>
              <w:bottom w:val="single" w:color="auto" w:sz="4" w:space="0"/>
              <w:right w:val="single" w:color="auto" w:sz="4" w:space="0"/>
            </w:tcBorders>
            <w:shd w:val="clear" w:color="auto" w:fill="auto"/>
            <w:vAlign w:val="center"/>
          </w:tcPr>
          <w:p>
            <w:pPr>
              <w:pStyle w:val="13"/>
              <w:jc w:val="center"/>
              <w:rPr>
                <w:rFonts w:ascii="宋体" w:hAnsi="宋体" w:cs="宋体"/>
                <w:sz w:val="18"/>
                <w:szCs w:val="18"/>
              </w:rPr>
            </w:pPr>
          </w:p>
        </w:tc>
        <w:tc>
          <w:tcPr>
            <w:tcW w:w="262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3"/>
              <w:rPr>
                <w:rFonts w:ascii="宋体" w:hAnsi="宋体" w:cs="宋体"/>
                <w:sz w:val="18"/>
                <w:szCs w:val="18"/>
              </w:rPr>
            </w:pPr>
            <w:r>
              <w:rPr>
                <w:rFonts w:hint="eastAsia" w:ascii="宋体" w:hAnsi="宋体" w:cs="宋体"/>
                <w:sz w:val="18"/>
                <w:szCs w:val="18"/>
              </w:rPr>
              <w:t>*6.4违法违规（8）</w:t>
            </w: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宋体" w:hAnsi="宋体" w:cs="宋体"/>
                <w:sz w:val="18"/>
                <w:szCs w:val="18"/>
              </w:rPr>
            </w:pPr>
            <w:r>
              <w:rPr>
                <w:rStyle w:val="237"/>
                <w:rFonts w:hint="eastAsia" w:ascii="宋体" w:hAnsi="宋体" w:cs="宋体"/>
                <w:color w:val="auto"/>
                <w:sz w:val="18"/>
                <w:szCs w:val="18"/>
              </w:rPr>
              <w:t>*6.4.1</w:t>
            </w:r>
            <w:r>
              <w:rPr>
                <w:rStyle w:val="238"/>
                <w:rFonts w:hint="eastAsia" w:ascii="宋体" w:hAnsi="宋体" w:eastAsia="宋体" w:cs="宋体"/>
                <w:color w:val="auto"/>
                <w:sz w:val="18"/>
                <w:szCs w:val="18"/>
              </w:rPr>
              <w:t>刑事处罚</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jc w:val="center"/>
              <w:textAlignment w:val="center"/>
              <w:rPr>
                <w:rFonts w:ascii="宋体" w:hAnsi="宋体" w:cs="宋体"/>
                <w:sz w:val="18"/>
                <w:szCs w:val="18"/>
              </w:rPr>
            </w:pPr>
            <w:r>
              <w:rPr>
                <w:rFonts w:hint="eastAsia" w:ascii="宋体" w:hAnsi="宋体" w:cs="宋体"/>
                <w:kern w:val="0"/>
                <w:sz w:val="18"/>
                <w:szCs w:val="18"/>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85" w:hRule="atLeast"/>
          <w:jc w:val="center"/>
        </w:trPr>
        <w:tc>
          <w:tcPr>
            <w:tcW w:w="1276" w:type="dxa"/>
            <w:vMerge w:val="continue"/>
            <w:tcBorders>
              <w:top w:val="single" w:color="auto" w:sz="4" w:space="0"/>
              <w:left w:val="single" w:color="auto" w:sz="8" w:space="0"/>
              <w:bottom w:val="single" w:color="auto" w:sz="4" w:space="0"/>
              <w:right w:val="single" w:color="auto" w:sz="4" w:space="0"/>
            </w:tcBorders>
            <w:shd w:val="clear" w:color="auto" w:fill="auto"/>
            <w:vAlign w:val="center"/>
          </w:tcPr>
          <w:p>
            <w:pPr>
              <w:pStyle w:val="13"/>
              <w:jc w:val="center"/>
              <w:rPr>
                <w:rFonts w:ascii="宋体" w:hAnsi="宋体" w:cs="宋体"/>
                <w:sz w:val="18"/>
                <w:szCs w:val="18"/>
              </w:rPr>
            </w:pPr>
          </w:p>
        </w:tc>
        <w:tc>
          <w:tcPr>
            <w:tcW w:w="262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13"/>
              <w:rPr>
                <w:rFonts w:ascii="宋体" w:hAnsi="宋体" w:cs="宋体"/>
                <w:sz w:val="18"/>
                <w:szCs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宋体" w:hAnsi="宋体" w:cs="宋体"/>
                <w:sz w:val="18"/>
                <w:szCs w:val="18"/>
              </w:rPr>
            </w:pPr>
            <w:r>
              <w:rPr>
                <w:rStyle w:val="237"/>
                <w:rFonts w:hint="eastAsia" w:ascii="宋体" w:hAnsi="宋体" w:cs="宋体"/>
                <w:color w:val="auto"/>
                <w:sz w:val="18"/>
                <w:szCs w:val="18"/>
              </w:rPr>
              <w:t>*6.4.2</w:t>
            </w:r>
            <w:r>
              <w:rPr>
                <w:rStyle w:val="238"/>
                <w:rFonts w:hint="eastAsia" w:ascii="宋体" w:hAnsi="宋体" w:eastAsia="宋体" w:cs="宋体"/>
                <w:color w:val="auto"/>
                <w:sz w:val="18"/>
                <w:szCs w:val="18"/>
              </w:rPr>
              <w:t>行政处罚</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jc w:val="center"/>
              <w:textAlignment w:val="center"/>
              <w:rPr>
                <w:rFonts w:ascii="宋体" w:hAnsi="宋体" w:cs="宋体"/>
                <w:sz w:val="18"/>
                <w:szCs w:val="18"/>
              </w:rPr>
            </w:pPr>
            <w:r>
              <w:rPr>
                <w:rFonts w:hint="eastAsia" w:ascii="宋体" w:hAnsi="宋体" w:cs="宋体"/>
                <w:kern w:val="0"/>
                <w:sz w:val="18"/>
                <w:szCs w:val="18"/>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85" w:hRule="atLeast"/>
          <w:jc w:val="center"/>
        </w:trPr>
        <w:tc>
          <w:tcPr>
            <w:tcW w:w="1276"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pPr>
              <w:pStyle w:val="13"/>
              <w:jc w:val="center"/>
              <w:rPr>
                <w:rFonts w:ascii="宋体" w:hAnsi="宋体" w:cs="宋体"/>
                <w:sz w:val="18"/>
                <w:szCs w:val="18"/>
              </w:rPr>
            </w:pPr>
            <w:r>
              <w:rPr>
                <w:rFonts w:hint="eastAsia" w:ascii="宋体" w:hAnsi="宋体" w:cs="宋体"/>
                <w:sz w:val="18"/>
                <w:szCs w:val="18"/>
              </w:rPr>
              <w:t>7.加分项目（5）</w:t>
            </w:r>
          </w:p>
        </w:tc>
        <w:tc>
          <w:tcPr>
            <w:tcW w:w="262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3"/>
              <w:rPr>
                <w:rFonts w:ascii="宋体" w:hAnsi="宋体" w:cs="宋体"/>
                <w:sz w:val="18"/>
                <w:szCs w:val="18"/>
              </w:rPr>
            </w:pPr>
            <w:r>
              <w:rPr>
                <w:rFonts w:hint="eastAsia" w:ascii="宋体" w:hAnsi="宋体" w:cs="宋体"/>
                <w:sz w:val="18"/>
                <w:szCs w:val="18"/>
              </w:rPr>
              <w:t>7.1研发创新（3）</w:t>
            </w: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宋体" w:hAnsi="宋体" w:cs="宋体"/>
                <w:sz w:val="18"/>
                <w:szCs w:val="18"/>
              </w:rPr>
            </w:pPr>
            <w:r>
              <w:rPr>
                <w:rStyle w:val="237"/>
                <w:rFonts w:hint="eastAsia" w:ascii="宋体" w:hAnsi="宋体" w:cs="宋体"/>
                <w:color w:val="auto"/>
                <w:sz w:val="18"/>
                <w:szCs w:val="18"/>
              </w:rPr>
              <w:t>7.1.1</w:t>
            </w:r>
            <w:r>
              <w:rPr>
                <w:rStyle w:val="238"/>
                <w:rFonts w:hint="eastAsia" w:ascii="宋体" w:hAnsi="宋体" w:eastAsia="宋体" w:cs="宋体"/>
                <w:color w:val="auto"/>
                <w:sz w:val="18"/>
                <w:szCs w:val="18"/>
              </w:rPr>
              <w:t>研发机构</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jc w:val="center"/>
              <w:textAlignment w:val="center"/>
              <w:rPr>
                <w:rFonts w:ascii="宋体" w:hAnsi="宋体" w:cs="宋体"/>
                <w:sz w:val="18"/>
                <w:szCs w:val="18"/>
              </w:rPr>
            </w:pPr>
            <w:r>
              <w:rPr>
                <w:rFonts w:hint="eastAsia" w:ascii="宋体" w:hAnsi="宋体" w:cs="宋体"/>
                <w:kern w:val="0"/>
                <w:sz w:val="18"/>
                <w:szCs w:val="18"/>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85" w:hRule="atLeast"/>
          <w:jc w:val="center"/>
        </w:trPr>
        <w:tc>
          <w:tcPr>
            <w:tcW w:w="1276" w:type="dxa"/>
            <w:vMerge w:val="continue"/>
            <w:tcBorders>
              <w:left w:val="single" w:color="auto" w:sz="8" w:space="0"/>
              <w:right w:val="single" w:color="auto" w:sz="4" w:space="0"/>
            </w:tcBorders>
            <w:shd w:val="clear" w:color="auto" w:fill="auto"/>
            <w:vAlign w:val="center"/>
          </w:tcPr>
          <w:p>
            <w:pPr>
              <w:pStyle w:val="13"/>
              <w:jc w:val="center"/>
              <w:rPr>
                <w:rFonts w:ascii="宋体" w:hAnsi="宋体" w:cs="宋体"/>
                <w:sz w:val="18"/>
                <w:szCs w:val="18"/>
              </w:rPr>
            </w:pPr>
          </w:p>
        </w:tc>
        <w:tc>
          <w:tcPr>
            <w:tcW w:w="2629" w:type="dxa"/>
            <w:vMerge w:val="continue"/>
            <w:tcBorders>
              <w:left w:val="single" w:color="auto" w:sz="4" w:space="0"/>
              <w:right w:val="single" w:color="auto" w:sz="4" w:space="0"/>
            </w:tcBorders>
            <w:shd w:val="clear" w:color="auto" w:fill="auto"/>
            <w:vAlign w:val="center"/>
          </w:tcPr>
          <w:p>
            <w:pPr>
              <w:pStyle w:val="13"/>
              <w:rPr>
                <w:rFonts w:ascii="宋体" w:hAnsi="宋体" w:cs="宋体"/>
                <w:sz w:val="18"/>
                <w:szCs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宋体" w:hAnsi="宋体" w:cs="宋体"/>
                <w:sz w:val="18"/>
                <w:szCs w:val="18"/>
              </w:rPr>
            </w:pPr>
            <w:r>
              <w:rPr>
                <w:rStyle w:val="237"/>
                <w:rFonts w:hint="eastAsia" w:ascii="宋体" w:hAnsi="宋体" w:cs="宋体"/>
                <w:color w:val="auto"/>
                <w:sz w:val="18"/>
                <w:szCs w:val="18"/>
              </w:rPr>
              <w:t>7.1.2</w:t>
            </w:r>
            <w:r>
              <w:rPr>
                <w:rStyle w:val="238"/>
                <w:rFonts w:hint="eastAsia" w:ascii="宋体" w:hAnsi="宋体" w:eastAsia="宋体" w:cs="宋体"/>
                <w:color w:val="auto"/>
                <w:sz w:val="18"/>
                <w:szCs w:val="18"/>
              </w:rPr>
              <w:t>发明专利</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jc w:val="center"/>
              <w:textAlignment w:val="center"/>
              <w:rPr>
                <w:rFonts w:ascii="宋体" w:hAnsi="宋体" w:cs="宋体"/>
                <w:sz w:val="18"/>
                <w:szCs w:val="18"/>
              </w:rPr>
            </w:pPr>
            <w:r>
              <w:rPr>
                <w:rFonts w:hint="eastAsia" w:ascii="宋体" w:hAnsi="宋体" w:cs="宋体"/>
                <w:kern w:val="0"/>
                <w:sz w:val="18"/>
                <w:szCs w:val="18"/>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85" w:hRule="atLeast"/>
          <w:jc w:val="center"/>
        </w:trPr>
        <w:tc>
          <w:tcPr>
            <w:tcW w:w="1276" w:type="dxa"/>
            <w:vMerge w:val="continue"/>
            <w:tcBorders>
              <w:top w:val="single" w:color="auto" w:sz="4" w:space="0"/>
              <w:left w:val="single" w:color="auto" w:sz="8" w:space="0"/>
              <w:bottom w:val="single" w:color="auto" w:sz="4" w:space="0"/>
              <w:right w:val="single" w:color="auto" w:sz="4" w:space="0"/>
            </w:tcBorders>
            <w:shd w:val="clear" w:color="auto" w:fill="auto"/>
            <w:vAlign w:val="center"/>
          </w:tcPr>
          <w:p>
            <w:pPr>
              <w:pStyle w:val="13"/>
              <w:jc w:val="center"/>
              <w:rPr>
                <w:rFonts w:ascii="宋体" w:hAnsi="宋体" w:cs="宋体"/>
                <w:sz w:val="18"/>
                <w:szCs w:val="18"/>
              </w:rPr>
            </w:pPr>
          </w:p>
        </w:tc>
        <w:tc>
          <w:tcPr>
            <w:tcW w:w="262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13"/>
              <w:rPr>
                <w:rFonts w:ascii="宋体" w:hAnsi="宋体" w:cs="宋体"/>
                <w:sz w:val="18"/>
                <w:szCs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宋体" w:hAnsi="宋体" w:cs="宋体"/>
                <w:sz w:val="18"/>
                <w:szCs w:val="18"/>
              </w:rPr>
            </w:pPr>
            <w:r>
              <w:rPr>
                <w:rStyle w:val="237"/>
                <w:rFonts w:hint="eastAsia" w:ascii="宋体" w:hAnsi="宋体" w:cs="宋体"/>
                <w:color w:val="auto"/>
                <w:sz w:val="18"/>
                <w:szCs w:val="18"/>
              </w:rPr>
              <w:t>7.1.3</w:t>
            </w:r>
            <w:r>
              <w:rPr>
                <w:rStyle w:val="238"/>
                <w:rFonts w:hint="eastAsia" w:ascii="宋体" w:hAnsi="宋体" w:eastAsia="宋体" w:cs="宋体"/>
                <w:color w:val="auto"/>
                <w:sz w:val="18"/>
                <w:szCs w:val="18"/>
              </w:rPr>
              <w:t>论文</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jc w:val="center"/>
              <w:textAlignment w:val="center"/>
              <w:rPr>
                <w:rFonts w:ascii="宋体" w:hAnsi="宋体" w:cs="宋体"/>
                <w:sz w:val="18"/>
                <w:szCs w:val="18"/>
              </w:rPr>
            </w:pPr>
            <w:r>
              <w:rPr>
                <w:rFonts w:hint="eastAsia" w:ascii="宋体" w:hAnsi="宋体" w:cs="宋体"/>
                <w:kern w:val="0"/>
                <w:sz w:val="18"/>
                <w:szCs w:val="18"/>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85" w:hRule="atLeast"/>
          <w:jc w:val="center"/>
        </w:trPr>
        <w:tc>
          <w:tcPr>
            <w:tcW w:w="1276" w:type="dxa"/>
            <w:vMerge w:val="continue"/>
            <w:tcBorders>
              <w:top w:val="single" w:color="auto" w:sz="4" w:space="0"/>
              <w:left w:val="single" w:color="auto" w:sz="8" w:space="0"/>
              <w:bottom w:val="single" w:color="auto" w:sz="4" w:space="0"/>
              <w:right w:val="single" w:color="auto" w:sz="4" w:space="0"/>
            </w:tcBorders>
            <w:shd w:val="clear" w:color="auto" w:fill="auto"/>
            <w:vAlign w:val="center"/>
          </w:tcPr>
          <w:p>
            <w:pPr>
              <w:pStyle w:val="13"/>
              <w:jc w:val="center"/>
              <w:rPr>
                <w:rFonts w:ascii="宋体" w:hAnsi="宋体" w:cs="宋体"/>
                <w:sz w:val="18"/>
                <w:szCs w:val="18"/>
              </w:rPr>
            </w:pPr>
          </w:p>
        </w:tc>
        <w:tc>
          <w:tcPr>
            <w:tcW w:w="262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3"/>
              <w:rPr>
                <w:rFonts w:ascii="宋体" w:hAnsi="宋体" w:cs="宋体"/>
                <w:sz w:val="18"/>
                <w:szCs w:val="18"/>
              </w:rPr>
            </w:pPr>
            <w:r>
              <w:rPr>
                <w:rFonts w:hint="eastAsia" w:ascii="宋体" w:hAnsi="宋体" w:cs="宋体"/>
                <w:sz w:val="18"/>
                <w:szCs w:val="18"/>
              </w:rPr>
              <w:t>7.2荣誉（2）</w:t>
            </w: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Style w:val="237"/>
                <w:rFonts w:ascii="宋体" w:hAnsi="宋体" w:cs="宋体"/>
                <w:color w:val="auto"/>
                <w:sz w:val="18"/>
                <w:szCs w:val="18"/>
              </w:rPr>
            </w:pPr>
            <w:r>
              <w:rPr>
                <w:rStyle w:val="237"/>
                <w:rFonts w:hint="eastAsia" w:ascii="宋体" w:hAnsi="宋体" w:cs="宋体"/>
                <w:color w:val="auto"/>
                <w:sz w:val="18"/>
                <w:szCs w:val="18"/>
              </w:rPr>
              <w:t>7.2.1</w:t>
            </w:r>
            <w:r>
              <w:rPr>
                <w:rStyle w:val="238"/>
                <w:rFonts w:hint="eastAsia" w:ascii="宋体" w:hAnsi="宋体" w:eastAsia="宋体" w:cs="宋体"/>
                <w:color w:val="auto"/>
                <w:sz w:val="18"/>
                <w:szCs w:val="18"/>
              </w:rPr>
              <w:t>集体荣誉</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jc w:val="center"/>
              <w:textAlignment w:val="center"/>
              <w:rPr>
                <w:rFonts w:ascii="宋体" w:hAnsi="宋体" w:cs="宋体"/>
                <w:kern w:val="0"/>
                <w:sz w:val="18"/>
                <w:szCs w:val="18"/>
              </w:rPr>
            </w:pPr>
            <w:r>
              <w:rPr>
                <w:rFonts w:hint="eastAsia" w:ascii="宋体" w:hAnsi="宋体" w:cs="宋体"/>
                <w:kern w:val="0"/>
                <w:sz w:val="18"/>
                <w:szCs w:val="18"/>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85" w:hRule="atLeast"/>
          <w:jc w:val="center"/>
        </w:trPr>
        <w:tc>
          <w:tcPr>
            <w:tcW w:w="1276" w:type="dxa"/>
            <w:vMerge w:val="continue"/>
            <w:tcBorders>
              <w:top w:val="single" w:color="auto" w:sz="4" w:space="0"/>
              <w:left w:val="single" w:color="auto" w:sz="8" w:space="0"/>
              <w:bottom w:val="single" w:color="auto" w:sz="4" w:space="0"/>
              <w:right w:val="single" w:color="auto" w:sz="4" w:space="0"/>
            </w:tcBorders>
            <w:shd w:val="clear" w:color="auto" w:fill="auto"/>
            <w:vAlign w:val="center"/>
          </w:tcPr>
          <w:p>
            <w:pPr>
              <w:pStyle w:val="13"/>
              <w:jc w:val="center"/>
              <w:rPr>
                <w:rFonts w:ascii="宋体" w:hAnsi="宋体" w:cs="宋体"/>
                <w:sz w:val="18"/>
                <w:szCs w:val="18"/>
              </w:rPr>
            </w:pPr>
          </w:p>
        </w:tc>
        <w:tc>
          <w:tcPr>
            <w:tcW w:w="262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13"/>
              <w:rPr>
                <w:rFonts w:ascii="宋体" w:hAnsi="宋体" w:cs="宋体"/>
                <w:sz w:val="18"/>
                <w:szCs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Style w:val="237"/>
                <w:rFonts w:ascii="宋体" w:hAnsi="宋体" w:cs="宋体"/>
                <w:color w:val="auto"/>
                <w:sz w:val="18"/>
                <w:szCs w:val="18"/>
              </w:rPr>
            </w:pPr>
            <w:r>
              <w:rPr>
                <w:rStyle w:val="237"/>
                <w:rFonts w:hint="eastAsia" w:ascii="宋体" w:hAnsi="宋体" w:cs="宋体"/>
                <w:color w:val="auto"/>
                <w:sz w:val="18"/>
                <w:szCs w:val="18"/>
              </w:rPr>
              <w:t>7.2.2</w:t>
            </w:r>
            <w:r>
              <w:rPr>
                <w:rStyle w:val="238"/>
                <w:rFonts w:hint="eastAsia" w:ascii="宋体" w:hAnsi="宋体" w:eastAsia="宋体" w:cs="宋体"/>
                <w:color w:val="auto"/>
                <w:sz w:val="18"/>
                <w:szCs w:val="18"/>
              </w:rPr>
              <w:t>个人荣誉</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jc w:val="center"/>
              <w:textAlignment w:val="center"/>
              <w:rPr>
                <w:rFonts w:ascii="宋体" w:hAnsi="宋体" w:cs="宋体"/>
                <w:kern w:val="0"/>
                <w:sz w:val="18"/>
                <w:szCs w:val="18"/>
              </w:rPr>
            </w:pPr>
            <w:r>
              <w:rPr>
                <w:rFonts w:hint="eastAsia" w:ascii="宋体" w:hAnsi="宋体" w:cs="宋体"/>
                <w:kern w:val="0"/>
                <w:sz w:val="18"/>
                <w:szCs w:val="18"/>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85" w:hRule="atLeast"/>
          <w:jc w:val="center"/>
        </w:trPr>
        <w:tc>
          <w:tcPr>
            <w:tcW w:w="1276" w:type="dxa"/>
            <w:tcBorders>
              <w:top w:val="single" w:color="auto" w:sz="4" w:space="0"/>
              <w:left w:val="single" w:color="auto" w:sz="8" w:space="0"/>
              <w:bottom w:val="single" w:color="auto" w:sz="8" w:space="0"/>
              <w:right w:val="single" w:color="auto" w:sz="4" w:space="0"/>
            </w:tcBorders>
            <w:shd w:val="clear" w:color="auto" w:fill="auto"/>
            <w:vAlign w:val="center"/>
          </w:tcPr>
          <w:p>
            <w:pPr>
              <w:pStyle w:val="13"/>
              <w:jc w:val="center"/>
              <w:rPr>
                <w:rStyle w:val="238"/>
                <w:rFonts w:ascii="宋体" w:hAnsi="宋体" w:eastAsia="宋体" w:cs="宋体"/>
                <w:color w:val="auto"/>
                <w:kern w:val="2"/>
                <w:sz w:val="18"/>
                <w:szCs w:val="18"/>
              </w:rPr>
            </w:pPr>
            <w:r>
              <w:rPr>
                <w:rStyle w:val="238"/>
                <w:rFonts w:hint="eastAsia" w:ascii="宋体" w:hAnsi="宋体" w:eastAsia="宋体" w:cs="宋体"/>
                <w:color w:val="auto"/>
                <w:kern w:val="2"/>
                <w:sz w:val="18"/>
                <w:szCs w:val="18"/>
              </w:rPr>
              <w:t>评价</w:t>
            </w:r>
          </w:p>
        </w:tc>
        <w:tc>
          <w:tcPr>
            <w:tcW w:w="7064" w:type="dxa"/>
            <w:gridSpan w:val="3"/>
            <w:tcBorders>
              <w:top w:val="single" w:color="auto" w:sz="4" w:space="0"/>
              <w:left w:val="single" w:color="auto" w:sz="4" w:space="0"/>
              <w:bottom w:val="single" w:color="auto" w:sz="8" w:space="0"/>
              <w:right w:val="single" w:color="auto" w:sz="8" w:space="0"/>
            </w:tcBorders>
            <w:shd w:val="clear" w:color="auto" w:fill="auto"/>
            <w:vAlign w:val="center"/>
          </w:tcPr>
          <w:p>
            <w:pPr>
              <w:spacing w:line="300" w:lineRule="exact"/>
              <w:rPr>
                <w:rStyle w:val="238"/>
                <w:rFonts w:hint="eastAsia" w:ascii="宋体" w:hAnsi="宋体" w:eastAsia="宋体" w:cs="宋体"/>
                <w:color w:val="auto"/>
                <w:sz w:val="18"/>
                <w:szCs w:val="18"/>
              </w:rPr>
            </w:pPr>
            <w:r>
              <w:rPr>
                <w:rStyle w:val="238"/>
                <w:rFonts w:hint="eastAsia" w:ascii="宋体" w:hAnsi="宋体" w:eastAsia="宋体" w:cs="宋体"/>
                <w:color w:val="auto"/>
                <w:sz w:val="18"/>
                <w:szCs w:val="18"/>
              </w:rPr>
              <w:t>存在*项0分或1-6项总得分低于70分的，评价结果为不合格。</w:t>
            </w:r>
          </w:p>
          <w:p>
            <w:pPr>
              <w:spacing w:line="300" w:lineRule="exact"/>
              <w:rPr>
                <w:rStyle w:val="238"/>
                <w:rFonts w:hint="eastAsia" w:ascii="宋体" w:hAnsi="宋体" w:eastAsia="宋体" w:cs="宋体"/>
                <w:color w:val="auto"/>
                <w:sz w:val="18"/>
                <w:szCs w:val="18"/>
              </w:rPr>
            </w:pPr>
            <w:r>
              <w:rPr>
                <w:rStyle w:val="238"/>
                <w:rFonts w:hint="eastAsia" w:ascii="宋体" w:hAnsi="宋体" w:eastAsia="宋体" w:cs="宋体"/>
                <w:color w:val="auto"/>
                <w:sz w:val="18"/>
                <w:szCs w:val="18"/>
              </w:rPr>
              <w:t>不存在*项0分</w:t>
            </w:r>
            <w:r>
              <w:rPr>
                <w:rStyle w:val="238"/>
                <w:rFonts w:hint="eastAsia" w:ascii="宋体" w:hAnsi="宋体" w:eastAsia="宋体" w:cs="宋体"/>
                <w:color w:val="auto"/>
                <w:sz w:val="18"/>
                <w:szCs w:val="18"/>
                <w:lang w:eastAsia="zh-CN"/>
              </w:rPr>
              <w:t>且</w:t>
            </w:r>
            <w:r>
              <w:rPr>
                <w:rStyle w:val="238"/>
                <w:rFonts w:hint="eastAsia" w:ascii="宋体" w:hAnsi="宋体" w:eastAsia="宋体" w:cs="宋体"/>
                <w:color w:val="auto"/>
                <w:sz w:val="18"/>
                <w:szCs w:val="18"/>
              </w:rPr>
              <w:t>1-6项总得分高于80分（含）</w:t>
            </w:r>
            <w:r>
              <w:rPr>
                <w:rStyle w:val="238"/>
                <w:rFonts w:hint="eastAsia" w:ascii="宋体" w:hAnsi="宋体" w:eastAsia="宋体" w:cs="宋体"/>
                <w:color w:val="auto"/>
                <w:sz w:val="18"/>
                <w:szCs w:val="18"/>
                <w:lang w:eastAsia="zh-CN"/>
              </w:rPr>
              <w:t>的</w:t>
            </w:r>
            <w:r>
              <w:rPr>
                <w:rStyle w:val="238"/>
                <w:rFonts w:hint="eastAsia" w:ascii="宋体" w:hAnsi="宋体" w:eastAsia="宋体" w:cs="宋体"/>
                <w:color w:val="auto"/>
                <w:sz w:val="18"/>
                <w:szCs w:val="18"/>
              </w:rPr>
              <w:t>，评价结果为称职。</w:t>
            </w:r>
            <w:bookmarkStart w:id="77" w:name="_GoBack"/>
            <w:bookmarkEnd w:id="77"/>
          </w:p>
          <w:p>
            <w:pPr>
              <w:spacing w:line="300" w:lineRule="exact"/>
              <w:rPr>
                <w:rStyle w:val="238"/>
                <w:rFonts w:ascii="宋体" w:hAnsi="宋体" w:eastAsia="宋体" w:cs="宋体"/>
                <w:color w:val="auto"/>
                <w:sz w:val="18"/>
                <w:szCs w:val="18"/>
              </w:rPr>
            </w:pPr>
            <w:r>
              <w:rPr>
                <w:rStyle w:val="238"/>
                <w:rFonts w:hint="eastAsia" w:ascii="宋体" w:hAnsi="宋体" w:eastAsia="宋体" w:cs="宋体"/>
                <w:color w:val="auto"/>
                <w:sz w:val="18"/>
                <w:szCs w:val="18"/>
              </w:rPr>
              <w:t>不存在*项0分</w:t>
            </w:r>
            <w:r>
              <w:rPr>
                <w:rStyle w:val="238"/>
                <w:rFonts w:hint="eastAsia" w:ascii="宋体" w:hAnsi="宋体" w:eastAsia="宋体" w:cs="宋体"/>
                <w:color w:val="auto"/>
                <w:sz w:val="18"/>
                <w:szCs w:val="18"/>
                <w:lang w:eastAsia="zh-CN"/>
              </w:rPr>
              <w:t>且</w:t>
            </w:r>
            <w:r>
              <w:rPr>
                <w:rStyle w:val="238"/>
                <w:rFonts w:hint="eastAsia" w:ascii="宋体" w:hAnsi="宋体" w:eastAsia="宋体" w:cs="宋体"/>
                <w:color w:val="auto"/>
                <w:sz w:val="18"/>
                <w:szCs w:val="18"/>
              </w:rPr>
              <w:t>1-6项总得分高于90分的（含）</w:t>
            </w:r>
            <w:r>
              <w:rPr>
                <w:rStyle w:val="238"/>
                <w:rFonts w:hint="eastAsia" w:ascii="宋体" w:hAnsi="宋体" w:eastAsia="宋体" w:cs="宋体"/>
                <w:color w:val="auto"/>
                <w:sz w:val="18"/>
                <w:szCs w:val="18"/>
                <w:lang w:eastAsia="zh-CN"/>
              </w:rPr>
              <w:t>的</w:t>
            </w:r>
            <w:r>
              <w:rPr>
                <w:rStyle w:val="238"/>
                <w:rFonts w:hint="eastAsia" w:ascii="宋体" w:hAnsi="宋体" w:eastAsia="宋体" w:cs="宋体"/>
                <w:color w:val="auto"/>
                <w:sz w:val="18"/>
                <w:szCs w:val="18"/>
              </w:rPr>
              <w:t>，评价结果为优秀。</w:t>
            </w:r>
          </w:p>
        </w:tc>
      </w:tr>
    </w:tbl>
    <w:p>
      <w:pPr>
        <w:pStyle w:val="59"/>
        <w:ind w:left="0" w:leftChars="0" w:firstLine="0" w:firstLineChars="0"/>
        <w:sectPr>
          <w:pgSz w:w="11906" w:h="16838"/>
          <w:pgMar w:top="2410" w:right="1134" w:bottom="1134" w:left="1134" w:header="1418" w:footer="1134" w:gutter="284"/>
          <w:cols w:space="425" w:num="1"/>
          <w:formProt w:val="0"/>
          <w:docGrid w:type="lines" w:linePitch="312" w:charSpace="0"/>
        </w:sectPr>
      </w:pPr>
    </w:p>
    <w:p>
      <w:pPr>
        <w:pStyle w:val="59"/>
        <w:ind w:left="0" w:leftChars="0" w:firstLine="0" w:firstLineChars="0"/>
      </w:pPr>
    </w:p>
    <w:bookmarkEnd w:id="71"/>
    <w:p>
      <w:pPr>
        <w:pStyle w:val="66"/>
        <w:spacing w:before="124" w:after="156"/>
      </w:pPr>
      <w:bookmarkStart w:id="74" w:name="_Toc165900290"/>
      <w:bookmarkStart w:id="75" w:name="_Toc165900275"/>
      <w:bookmarkStart w:id="76" w:name="BookMark6"/>
      <w:r>
        <w:rPr>
          <w:rFonts w:hint="eastAsia"/>
          <w:spacing w:val="105"/>
        </w:rPr>
        <w:t>参考文</w:t>
      </w:r>
      <w:r>
        <w:rPr>
          <w:rFonts w:hint="eastAsia"/>
        </w:rPr>
        <w:t>献</w:t>
      </w:r>
      <w:bookmarkEnd w:id="74"/>
      <w:bookmarkEnd w:id="75"/>
    </w:p>
    <w:p>
      <w:pPr>
        <w:pStyle w:val="59"/>
        <w:ind w:firstLine="420"/>
      </w:pPr>
      <w:r>
        <w:rPr>
          <w:rFonts w:hint="eastAsia"/>
        </w:rPr>
        <w:t>[</w:t>
      </w:r>
      <w:r>
        <w:t xml:space="preserve">1] </w:t>
      </w:r>
      <w:r>
        <w:rPr>
          <w:rFonts w:hint="eastAsia"/>
        </w:rPr>
        <w:t>《中华人民共和国食品安全法》</w:t>
      </w:r>
    </w:p>
    <w:p>
      <w:pPr>
        <w:pStyle w:val="59"/>
        <w:ind w:firstLine="420"/>
      </w:pPr>
      <w:r>
        <w:rPr>
          <w:rFonts w:hint="eastAsia"/>
        </w:rPr>
        <w:t>[</w:t>
      </w:r>
      <w:r>
        <w:t xml:space="preserve">2] </w:t>
      </w:r>
      <w:r>
        <w:rPr>
          <w:rFonts w:hint="eastAsia"/>
        </w:rPr>
        <w:t>《中华人民共和国食品安全法实施条例》</w:t>
      </w:r>
    </w:p>
    <w:p>
      <w:pPr>
        <w:pStyle w:val="59"/>
        <w:ind w:firstLine="420"/>
      </w:pPr>
      <w:r>
        <w:rPr>
          <w:rFonts w:hint="eastAsia"/>
        </w:rPr>
        <w:t>[</w:t>
      </w:r>
      <w:r>
        <w:t xml:space="preserve">3] </w:t>
      </w:r>
      <w:r>
        <w:rPr>
          <w:rFonts w:hint="eastAsia"/>
        </w:rPr>
        <w:t>《食品生产许可管理办法》 （国家市场监督管理总局令第24号）</w:t>
      </w:r>
    </w:p>
    <w:p>
      <w:pPr>
        <w:pStyle w:val="59"/>
        <w:ind w:firstLine="420"/>
      </w:pPr>
      <w:r>
        <w:rPr>
          <w:rFonts w:hint="eastAsia"/>
        </w:rPr>
        <w:t>[</w:t>
      </w:r>
      <w:r>
        <w:t xml:space="preserve">4] </w:t>
      </w:r>
      <w:r>
        <w:rPr>
          <w:rFonts w:hint="eastAsia"/>
        </w:rPr>
        <w:t>《食品生产经营监督检查管理办法》 （国家市场监督管理总局令第49号）</w:t>
      </w:r>
    </w:p>
    <w:p>
      <w:pPr>
        <w:pStyle w:val="59"/>
        <w:ind w:firstLine="420"/>
      </w:pPr>
      <w:r>
        <w:rPr>
          <w:rFonts w:hint="eastAsia"/>
        </w:rPr>
        <w:t>[</w:t>
      </w:r>
      <w:r>
        <w:t xml:space="preserve">5] </w:t>
      </w:r>
      <w:r>
        <w:rPr>
          <w:rFonts w:hint="eastAsia"/>
        </w:rPr>
        <w:t>《企业落实食品安全主体责任监督管理规定》（国家市场监督管理总局令第60号）</w:t>
      </w:r>
    </w:p>
    <w:p>
      <w:pPr>
        <w:pStyle w:val="59"/>
        <w:ind w:firstLine="420"/>
      </w:pPr>
      <w:r>
        <w:rPr>
          <w:rFonts w:hint="eastAsia"/>
        </w:rPr>
        <w:t>[</w:t>
      </w:r>
      <w:r>
        <w:t xml:space="preserve">6] </w:t>
      </w:r>
      <w:r>
        <w:rPr>
          <w:rFonts w:hint="eastAsia"/>
        </w:rPr>
        <w:t>《食品经营许可和备案管理办法》（国家市场监督管理总局令第78号）</w:t>
      </w:r>
    </w:p>
    <w:p>
      <w:pPr>
        <w:pStyle w:val="59"/>
        <w:ind w:firstLine="420"/>
      </w:pPr>
      <w:r>
        <w:rPr>
          <w:rFonts w:hint="eastAsia"/>
        </w:rPr>
        <w:t>[</w:t>
      </w:r>
      <w:r>
        <w:t xml:space="preserve">7] </w:t>
      </w:r>
      <w:r>
        <w:rPr>
          <w:rFonts w:hint="eastAsia"/>
        </w:rPr>
        <w:t>《食用农产品市场销售质量安全监督管理办法》（国家市场监督管理总局令第81号）</w:t>
      </w:r>
    </w:p>
    <w:p>
      <w:pPr>
        <w:pStyle w:val="59"/>
        <w:ind w:firstLine="420"/>
      </w:pPr>
      <w:r>
        <w:rPr>
          <w:rFonts w:hint="eastAsia"/>
        </w:rPr>
        <w:t>[</w:t>
      </w:r>
      <w:r>
        <w:t xml:space="preserve">8] </w:t>
      </w:r>
      <w:r>
        <w:rPr>
          <w:rFonts w:hint="eastAsia"/>
        </w:rPr>
        <w:t>《食品生产许可证审查通则（2022版）》（国家市场监督管理总局公告2022年第33号）</w:t>
      </w:r>
    </w:p>
    <w:p>
      <w:pPr>
        <w:pStyle w:val="59"/>
        <w:ind w:left="840" w:leftChars="200" w:hanging="420" w:hangingChars="200"/>
        <w:rPr>
          <w:rFonts w:hint="eastAsia"/>
        </w:rPr>
      </w:pPr>
      <w:r>
        <w:rPr>
          <w:rFonts w:hint="eastAsia"/>
        </w:rPr>
        <w:t>[</w:t>
      </w:r>
      <w:r>
        <w:t xml:space="preserve">9] </w:t>
      </w:r>
      <w:r>
        <w:rPr>
          <w:rFonts w:hint="eastAsia"/>
        </w:rPr>
        <w:t>《学校食品安全与营养健康管理规定》 （中华人民共和国教育部、中华人民共和国国家市场监督管理总局、中华人民共和国国家卫生健康委员会令第45号）</w:t>
      </w:r>
      <w:bookmarkEnd w:id="76"/>
    </w:p>
    <w:p>
      <w:pPr>
        <w:pStyle w:val="59"/>
        <w:ind w:left="840" w:leftChars="200" w:hanging="420" w:hangingChars="200"/>
        <w:rPr>
          <w:rFonts w:hint="eastAsia"/>
        </w:rPr>
      </w:pPr>
    </w:p>
    <w:p>
      <w:pPr>
        <w:pStyle w:val="59"/>
        <w:ind w:left="840" w:leftChars="200" w:hanging="420" w:hangingChars="200"/>
        <w:rPr>
          <w:rFonts w:hint="eastAsia"/>
        </w:rPr>
      </w:pPr>
    </w:p>
    <w:p>
      <w:pPr>
        <w:pStyle w:val="59"/>
        <w:ind w:left="840" w:leftChars="200" w:hanging="420" w:hangingChars="200"/>
        <w:rPr>
          <w:rFonts w:hint="eastAsia"/>
        </w:rPr>
      </w:pPr>
    </w:p>
    <w:p>
      <w:pPr>
        <w:pStyle w:val="59"/>
        <w:ind w:left="840" w:leftChars="200" w:hanging="420" w:hangingChars="200"/>
        <w:rPr>
          <w:rFonts w:hint="eastAsia"/>
        </w:rPr>
      </w:pPr>
    </w:p>
    <w:p>
      <w:pPr>
        <w:pStyle w:val="59"/>
        <w:ind w:left="840" w:leftChars="200" w:hanging="420" w:hangingChars="200"/>
        <w:rPr>
          <w:rFonts w:hint="eastAsia"/>
        </w:rPr>
      </w:pPr>
    </w:p>
    <w:p>
      <w:pPr>
        <w:pStyle w:val="59"/>
        <w:ind w:left="0" w:leftChars="0" w:firstLine="0" w:firstLineChars="0"/>
        <w:jc w:val="center"/>
        <w:rPr>
          <w:rFonts w:hint="eastAsia" w:eastAsia="宋体"/>
          <w:b/>
          <w:bCs/>
          <w:lang w:val="en-US" w:eastAsia="zh-CN"/>
        </w:rPr>
      </w:pPr>
      <w:r>
        <w:rPr>
          <w:rFonts w:hint="eastAsia"/>
          <w:b/>
          <w:bCs/>
        </w:rPr>
        <w:t>_________________________________</w:t>
      </w:r>
    </w:p>
    <w:sectPr>
      <w:pgSz w:w="11906" w:h="16838"/>
      <w:pgMar w:top="2410"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等线">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DB32/TXXXX—2024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right"/>
      <w:rPr>
        <w:lang w:val="fr-FR"/>
      </w:rPr>
    </w:pPr>
    <w:r>
      <w:fldChar w:fldCharType="begin"/>
    </w:r>
    <w:r>
      <w:instrText xml:space="preserve"> STYLEREF  标准文件_文件编号  \* MERGEFORMAT </w:instrText>
    </w:r>
    <w:r>
      <w:fldChar w:fldCharType="separate"/>
    </w:r>
    <w:r>
      <w:t>DB32/TXXXX—2024</w:t>
    </w:r>
    <w:r>
      <w:rPr>
        <w:lang w:val="fr-F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994"/>
        </w:tabs>
        <w:ind w:left="994"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284"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attachedTemplate r:id="rId1"/>
  <w:documentProtection w:edit="forms" w:enforcement="1"/>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MjNlM2E4Y2IzY2Y2NWYwYzlhY2Y3NjNmZDNkYWMifQ=="/>
  </w:docVars>
  <w:rsids>
    <w:rsidRoot w:val="00FA52FD"/>
    <w:rsid w:val="0000040A"/>
    <w:rsid w:val="00000A94"/>
    <w:rsid w:val="00001972"/>
    <w:rsid w:val="00001D9A"/>
    <w:rsid w:val="00004D3D"/>
    <w:rsid w:val="00007B3A"/>
    <w:rsid w:val="000107E0"/>
    <w:rsid w:val="00011FDE"/>
    <w:rsid w:val="00012FFD"/>
    <w:rsid w:val="00014162"/>
    <w:rsid w:val="00014340"/>
    <w:rsid w:val="00016A9C"/>
    <w:rsid w:val="00022184"/>
    <w:rsid w:val="00022762"/>
    <w:rsid w:val="000238E0"/>
    <w:rsid w:val="000249DB"/>
    <w:rsid w:val="0002595E"/>
    <w:rsid w:val="00027F20"/>
    <w:rsid w:val="000303C3"/>
    <w:rsid w:val="000304A0"/>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3E2"/>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3CA0"/>
    <w:rsid w:val="000F4AEA"/>
    <w:rsid w:val="000F571E"/>
    <w:rsid w:val="000F633F"/>
    <w:rsid w:val="000F67E9"/>
    <w:rsid w:val="001003F6"/>
    <w:rsid w:val="00104926"/>
    <w:rsid w:val="00113B1E"/>
    <w:rsid w:val="0011711C"/>
    <w:rsid w:val="00117794"/>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73B"/>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6DA3"/>
    <w:rsid w:val="00190087"/>
    <w:rsid w:val="001913C4"/>
    <w:rsid w:val="0019348F"/>
    <w:rsid w:val="00193A07"/>
    <w:rsid w:val="00194C95"/>
    <w:rsid w:val="00195C34"/>
    <w:rsid w:val="00196EF5"/>
    <w:rsid w:val="001A1A53"/>
    <w:rsid w:val="001A234A"/>
    <w:rsid w:val="001A4CF3"/>
    <w:rsid w:val="001B06E8"/>
    <w:rsid w:val="001B71D0"/>
    <w:rsid w:val="001B71EE"/>
    <w:rsid w:val="001B7642"/>
    <w:rsid w:val="001C04A8"/>
    <w:rsid w:val="001C177E"/>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0778F"/>
    <w:rsid w:val="00210B15"/>
    <w:rsid w:val="00213E7A"/>
    <w:rsid w:val="002142EA"/>
    <w:rsid w:val="002152A8"/>
    <w:rsid w:val="00217C8B"/>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5DE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18CC"/>
    <w:rsid w:val="002D42B5"/>
    <w:rsid w:val="002D4F1A"/>
    <w:rsid w:val="002D6EC6"/>
    <w:rsid w:val="002D72A6"/>
    <w:rsid w:val="002D79AC"/>
    <w:rsid w:val="002E039D"/>
    <w:rsid w:val="002E4D5A"/>
    <w:rsid w:val="002E6326"/>
    <w:rsid w:val="002F30E0"/>
    <w:rsid w:val="002F35E4"/>
    <w:rsid w:val="002F3730"/>
    <w:rsid w:val="002F38E1"/>
    <w:rsid w:val="002F7AF6"/>
    <w:rsid w:val="00300E63"/>
    <w:rsid w:val="00302F5F"/>
    <w:rsid w:val="0030441D"/>
    <w:rsid w:val="00306063"/>
    <w:rsid w:val="003108B8"/>
    <w:rsid w:val="00313B85"/>
    <w:rsid w:val="00317988"/>
    <w:rsid w:val="003221B4"/>
    <w:rsid w:val="0032258D"/>
    <w:rsid w:val="00322E62"/>
    <w:rsid w:val="00324D13"/>
    <w:rsid w:val="00324D2A"/>
    <w:rsid w:val="00324EDD"/>
    <w:rsid w:val="00325C84"/>
    <w:rsid w:val="003331E4"/>
    <w:rsid w:val="00336C64"/>
    <w:rsid w:val="00337162"/>
    <w:rsid w:val="00340BAC"/>
    <w:rsid w:val="0034194F"/>
    <w:rsid w:val="003445AC"/>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3914"/>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217"/>
    <w:rsid w:val="00401400"/>
    <w:rsid w:val="00404869"/>
    <w:rsid w:val="00405884"/>
    <w:rsid w:val="00407D39"/>
    <w:rsid w:val="0041477A"/>
    <w:rsid w:val="00415516"/>
    <w:rsid w:val="004167A3"/>
    <w:rsid w:val="00432DAA"/>
    <w:rsid w:val="00434305"/>
    <w:rsid w:val="00435DF7"/>
    <w:rsid w:val="0044083F"/>
    <w:rsid w:val="00441356"/>
    <w:rsid w:val="00441AE7"/>
    <w:rsid w:val="00445574"/>
    <w:rsid w:val="004467FB"/>
    <w:rsid w:val="00452D6B"/>
    <w:rsid w:val="00454484"/>
    <w:rsid w:val="0045517B"/>
    <w:rsid w:val="00463B77"/>
    <w:rsid w:val="00463C7B"/>
    <w:rsid w:val="004644A6"/>
    <w:rsid w:val="004659BD"/>
    <w:rsid w:val="00470775"/>
    <w:rsid w:val="004746B1"/>
    <w:rsid w:val="0047583F"/>
    <w:rsid w:val="0047599D"/>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4CEF"/>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6261"/>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2C33"/>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437A"/>
    <w:rsid w:val="005C5F21"/>
    <w:rsid w:val="005C7156"/>
    <w:rsid w:val="005D0C75"/>
    <w:rsid w:val="005D4171"/>
    <w:rsid w:val="005D6A95"/>
    <w:rsid w:val="005D6B2C"/>
    <w:rsid w:val="005D6D9C"/>
    <w:rsid w:val="005E1FF1"/>
    <w:rsid w:val="005E2335"/>
    <w:rsid w:val="005E34CA"/>
    <w:rsid w:val="005E3C18"/>
    <w:rsid w:val="005E52E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5B4"/>
    <w:rsid w:val="00633C17"/>
    <w:rsid w:val="00634D9E"/>
    <w:rsid w:val="00636E3E"/>
    <w:rsid w:val="006379F7"/>
    <w:rsid w:val="00637E4D"/>
    <w:rsid w:val="00640620"/>
    <w:rsid w:val="00641A1F"/>
    <w:rsid w:val="00645904"/>
    <w:rsid w:val="00651ACB"/>
    <w:rsid w:val="00651C47"/>
    <w:rsid w:val="00652241"/>
    <w:rsid w:val="00652AB2"/>
    <w:rsid w:val="00653FED"/>
    <w:rsid w:val="00654EC0"/>
    <w:rsid w:val="0065525B"/>
    <w:rsid w:val="00655D4F"/>
    <w:rsid w:val="00656D29"/>
    <w:rsid w:val="00661A23"/>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A6A6E"/>
    <w:rsid w:val="006B2672"/>
    <w:rsid w:val="006B54B0"/>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4533"/>
    <w:rsid w:val="006F6284"/>
    <w:rsid w:val="007002C5"/>
    <w:rsid w:val="00704387"/>
    <w:rsid w:val="00707669"/>
    <w:rsid w:val="00711CBA"/>
    <w:rsid w:val="00711FB5"/>
    <w:rsid w:val="00712A01"/>
    <w:rsid w:val="00714F58"/>
    <w:rsid w:val="00715684"/>
    <w:rsid w:val="00722FBF"/>
    <w:rsid w:val="00722FC2"/>
    <w:rsid w:val="00724879"/>
    <w:rsid w:val="00724E1B"/>
    <w:rsid w:val="00725949"/>
    <w:rsid w:val="00727FA2"/>
    <w:rsid w:val="007322D9"/>
    <w:rsid w:val="00732BC0"/>
    <w:rsid w:val="0073720F"/>
    <w:rsid w:val="00737796"/>
    <w:rsid w:val="00740B2A"/>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76ECC"/>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9E"/>
    <w:rsid w:val="007E0BF1"/>
    <w:rsid w:val="007E36A1"/>
    <w:rsid w:val="007E47BC"/>
    <w:rsid w:val="007F0ED8"/>
    <w:rsid w:val="007F0F63"/>
    <w:rsid w:val="007F3FEA"/>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27C5"/>
    <w:rsid w:val="008A3215"/>
    <w:rsid w:val="008A57E6"/>
    <w:rsid w:val="008A6F81"/>
    <w:rsid w:val="008A769A"/>
    <w:rsid w:val="008B0C9C"/>
    <w:rsid w:val="008B143A"/>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55D70"/>
    <w:rsid w:val="009610DC"/>
    <w:rsid w:val="00961490"/>
    <w:rsid w:val="0096381A"/>
    <w:rsid w:val="00965E04"/>
    <w:rsid w:val="009674AD"/>
    <w:rsid w:val="00970CDC"/>
    <w:rsid w:val="00977010"/>
    <w:rsid w:val="00977D02"/>
    <w:rsid w:val="009809BB"/>
    <w:rsid w:val="00980F02"/>
    <w:rsid w:val="00981503"/>
    <w:rsid w:val="0098364B"/>
    <w:rsid w:val="009911AF"/>
    <w:rsid w:val="00991875"/>
    <w:rsid w:val="00991F92"/>
    <w:rsid w:val="00992985"/>
    <w:rsid w:val="00993889"/>
    <w:rsid w:val="00993A32"/>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6F0"/>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22A2"/>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3E5E"/>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1C5B"/>
    <w:rsid w:val="00BB5F8F"/>
    <w:rsid w:val="00BB657A"/>
    <w:rsid w:val="00BC1A4E"/>
    <w:rsid w:val="00BC5DC7"/>
    <w:rsid w:val="00BC6B8B"/>
    <w:rsid w:val="00BC73D8"/>
    <w:rsid w:val="00BD52D7"/>
    <w:rsid w:val="00BD5AD2"/>
    <w:rsid w:val="00BE22F3"/>
    <w:rsid w:val="00BE5166"/>
    <w:rsid w:val="00BE5B52"/>
    <w:rsid w:val="00BE7B8D"/>
    <w:rsid w:val="00BF0993"/>
    <w:rsid w:val="00BF10A9"/>
    <w:rsid w:val="00BF1703"/>
    <w:rsid w:val="00BF231C"/>
    <w:rsid w:val="00BF51E5"/>
    <w:rsid w:val="00BF74A6"/>
    <w:rsid w:val="00C013AD"/>
    <w:rsid w:val="00C04904"/>
    <w:rsid w:val="00C056B3"/>
    <w:rsid w:val="00C103E5"/>
    <w:rsid w:val="00C1095E"/>
    <w:rsid w:val="00C13319"/>
    <w:rsid w:val="00C13EE9"/>
    <w:rsid w:val="00C21540"/>
    <w:rsid w:val="00C21906"/>
    <w:rsid w:val="00C21BFA"/>
    <w:rsid w:val="00C22148"/>
    <w:rsid w:val="00C24C8D"/>
    <w:rsid w:val="00C24FBD"/>
    <w:rsid w:val="00C25FE2"/>
    <w:rsid w:val="00C26B53"/>
    <w:rsid w:val="00C279B2"/>
    <w:rsid w:val="00C33E50"/>
    <w:rsid w:val="00C34C20"/>
    <w:rsid w:val="00C35A3E"/>
    <w:rsid w:val="00C36946"/>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1786"/>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5CB2"/>
    <w:rsid w:val="00CF048A"/>
    <w:rsid w:val="00CF155A"/>
    <w:rsid w:val="00CF2947"/>
    <w:rsid w:val="00CF686F"/>
    <w:rsid w:val="00CF6E60"/>
    <w:rsid w:val="00CF7BCA"/>
    <w:rsid w:val="00D008FD"/>
    <w:rsid w:val="00D0321C"/>
    <w:rsid w:val="00D035EC"/>
    <w:rsid w:val="00D0514B"/>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75"/>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CF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1184"/>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27D91"/>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B5E"/>
    <w:rsid w:val="00E74C54"/>
    <w:rsid w:val="00E77A03"/>
    <w:rsid w:val="00E822E8"/>
    <w:rsid w:val="00E82554"/>
    <w:rsid w:val="00E82606"/>
    <w:rsid w:val="00E846C8"/>
    <w:rsid w:val="00E84957"/>
    <w:rsid w:val="00E84A55"/>
    <w:rsid w:val="00E85A09"/>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87ADF"/>
    <w:rsid w:val="00F9108B"/>
    <w:rsid w:val="00F91349"/>
    <w:rsid w:val="00F93A8A"/>
    <w:rsid w:val="00F95248"/>
    <w:rsid w:val="00F956A9"/>
    <w:rsid w:val="00F963ED"/>
    <w:rsid w:val="00F966CF"/>
    <w:rsid w:val="00F96CAE"/>
    <w:rsid w:val="00F97C99"/>
    <w:rsid w:val="00FA4DAC"/>
    <w:rsid w:val="00FA52FD"/>
    <w:rsid w:val="00FA662D"/>
    <w:rsid w:val="00FA73B1"/>
    <w:rsid w:val="00FA7AFF"/>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7C7"/>
    <w:rsid w:val="00FE1FBE"/>
    <w:rsid w:val="00FE3901"/>
    <w:rsid w:val="00FE39D3"/>
    <w:rsid w:val="00FE4976"/>
    <w:rsid w:val="00FE4BCE"/>
    <w:rsid w:val="00FE54AE"/>
    <w:rsid w:val="00FE576A"/>
    <w:rsid w:val="00FE7E79"/>
    <w:rsid w:val="00FF149F"/>
    <w:rsid w:val="00FF3E7D"/>
    <w:rsid w:val="00FF5689"/>
    <w:rsid w:val="00FF5B99"/>
    <w:rsid w:val="00FF730C"/>
    <w:rsid w:val="00FF73F4"/>
    <w:rsid w:val="00FF7CE4"/>
    <w:rsid w:val="00FF7E39"/>
    <w:rsid w:val="02613906"/>
    <w:rsid w:val="049B614F"/>
    <w:rsid w:val="05EF362F"/>
    <w:rsid w:val="0CD6334F"/>
    <w:rsid w:val="0CEC5236"/>
    <w:rsid w:val="10E96027"/>
    <w:rsid w:val="15561224"/>
    <w:rsid w:val="15C0702C"/>
    <w:rsid w:val="18231E23"/>
    <w:rsid w:val="19873296"/>
    <w:rsid w:val="19D8557F"/>
    <w:rsid w:val="1BFA4148"/>
    <w:rsid w:val="26DE2B49"/>
    <w:rsid w:val="2842767E"/>
    <w:rsid w:val="29AE4DEE"/>
    <w:rsid w:val="2BE40008"/>
    <w:rsid w:val="365F6579"/>
    <w:rsid w:val="396F6C4B"/>
    <w:rsid w:val="39C97DBF"/>
    <w:rsid w:val="3AC02D8D"/>
    <w:rsid w:val="3BB11954"/>
    <w:rsid w:val="3BCE5135"/>
    <w:rsid w:val="3E854EE8"/>
    <w:rsid w:val="3F48143C"/>
    <w:rsid w:val="412208A6"/>
    <w:rsid w:val="41C117EB"/>
    <w:rsid w:val="42702FAF"/>
    <w:rsid w:val="435E4D0F"/>
    <w:rsid w:val="47BD57D9"/>
    <w:rsid w:val="4B1D3563"/>
    <w:rsid w:val="4B78060A"/>
    <w:rsid w:val="4DAC4771"/>
    <w:rsid w:val="4EDA3FE2"/>
    <w:rsid w:val="4F850F98"/>
    <w:rsid w:val="55DB35B6"/>
    <w:rsid w:val="560543DC"/>
    <w:rsid w:val="5AE028F9"/>
    <w:rsid w:val="5F7D0CC7"/>
    <w:rsid w:val="6AF272FB"/>
    <w:rsid w:val="6B1747B2"/>
    <w:rsid w:val="6F500225"/>
    <w:rsid w:val="70B17439"/>
    <w:rsid w:val="71830BC0"/>
    <w:rsid w:val="71941FB5"/>
    <w:rsid w:val="74726D4D"/>
    <w:rsid w:val="752C6E26"/>
    <w:rsid w:val="76EF32AF"/>
    <w:rsid w:val="78500EF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3">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2">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3"/>
    <w:unhideWhenUsed/>
    <w:qFormat/>
    <w:uiPriority w:val="99"/>
    <w:pPr>
      <w:jc w:val="left"/>
    </w:pPr>
    <w:rPr>
      <w:rFonts w:ascii="Times New Roman"/>
      <w:kern w:val="0"/>
    </w:rPr>
  </w:style>
  <w:style w:type="paragraph" w:styleId="14">
    <w:name w:val="Body Text"/>
    <w:basedOn w:val="1"/>
    <w:link w:val="89"/>
    <w:qFormat/>
    <w:uiPriority w:val="0"/>
    <w:pPr>
      <w:spacing w:after="120"/>
    </w:pPr>
  </w:style>
  <w:style w:type="paragraph" w:styleId="15">
    <w:name w:val="Body Text Indent"/>
    <w:basedOn w:val="1"/>
    <w:link w:val="236"/>
    <w:semiHidden/>
    <w:unhideWhenUsed/>
    <w:qFormat/>
    <w:uiPriority w:val="99"/>
    <w:pPr>
      <w:spacing w:after="120"/>
      <w:ind w:left="420" w:leftChars="200"/>
    </w:pPr>
  </w:style>
  <w:style w:type="paragraph" w:styleId="16">
    <w:name w:val="toc 5"/>
    <w:basedOn w:val="1"/>
    <w:next w:val="1"/>
    <w:unhideWhenUsed/>
    <w:qFormat/>
    <w:uiPriority w:val="39"/>
    <w:pPr>
      <w:ind w:left="839"/>
    </w:pPr>
    <w:rPr>
      <w:rFonts w:ascii="宋体"/>
    </w:rPr>
  </w:style>
  <w:style w:type="paragraph" w:styleId="17">
    <w:name w:val="toc 3"/>
    <w:basedOn w:val="1"/>
    <w:next w:val="1"/>
    <w:unhideWhenUsed/>
    <w:qFormat/>
    <w:uiPriority w:val="39"/>
    <w:pPr>
      <w:spacing w:line="300" w:lineRule="exact"/>
      <w:ind w:left="420"/>
    </w:pPr>
    <w:rPr>
      <w:rFonts w:ascii="宋体"/>
    </w:rPr>
  </w:style>
  <w:style w:type="paragraph" w:styleId="18">
    <w:name w:val="Balloon Text"/>
    <w:basedOn w:val="1"/>
    <w:link w:val="48"/>
    <w:semiHidden/>
    <w:unhideWhenUsed/>
    <w:qFormat/>
    <w:uiPriority w:val="99"/>
    <w:rPr>
      <w:sz w:val="18"/>
      <w:szCs w:val="18"/>
    </w:rPr>
  </w:style>
  <w:style w:type="paragraph" w:styleId="19">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6"/>
    <w:qFormat/>
    <w:uiPriority w:val="99"/>
    <w:pPr>
      <w:tabs>
        <w:tab w:val="center" w:pos="4153"/>
        <w:tab w:val="right" w:pos="8306"/>
      </w:tabs>
      <w:adjustRightInd/>
      <w:snapToGrid w:val="0"/>
      <w:jc w:val="center"/>
    </w:pPr>
    <w:rPr>
      <w:sz w:val="18"/>
      <w:szCs w:val="18"/>
    </w:rPr>
  </w:style>
  <w:style w:type="paragraph" w:styleId="21">
    <w:name w:val="toc 1"/>
    <w:basedOn w:val="1"/>
    <w:next w:val="1"/>
    <w:unhideWhenUsed/>
    <w:qFormat/>
    <w:uiPriority w:val="39"/>
    <w:rPr>
      <w:rFonts w:ascii="宋体"/>
    </w:rPr>
  </w:style>
  <w:style w:type="paragraph" w:styleId="22">
    <w:name w:val="toc 4"/>
    <w:basedOn w:val="1"/>
    <w:next w:val="1"/>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unhideWhenUsed/>
    <w:qFormat/>
    <w:uiPriority w:val="39"/>
    <w:pPr>
      <w:tabs>
        <w:tab w:val="right" w:leader="dot" w:pos="9344"/>
      </w:tabs>
      <w:spacing w:line="300" w:lineRule="exact"/>
      <w:ind w:left="210"/>
    </w:pPr>
    <w:rPr>
      <w:rFonts w:ascii="宋体"/>
    </w:rPr>
  </w:style>
  <w:style w:type="paragraph" w:styleId="27">
    <w:name w:val="Normal (Web)"/>
    <w:basedOn w:val="1"/>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8">
    <w:name w:val="Title"/>
    <w:basedOn w:val="1"/>
    <w:link w:val="51"/>
    <w:qFormat/>
    <w:uiPriority w:val="0"/>
    <w:pPr>
      <w:spacing w:before="240" w:after="60"/>
      <w:jc w:val="center"/>
      <w:outlineLvl w:val="0"/>
    </w:pPr>
    <w:rPr>
      <w:rFonts w:ascii="Arial" w:hAnsi="Arial" w:cs="Arial"/>
      <w:b/>
      <w:bCs/>
      <w:sz w:val="32"/>
      <w:szCs w:val="32"/>
    </w:rPr>
  </w:style>
  <w:style w:type="table" w:styleId="30">
    <w:name w:val="Table Grid"/>
    <w:basedOn w:val="29"/>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2">
    <w:name w:val="Strong"/>
    <w:qFormat/>
    <w:uiPriority w:val="22"/>
    <w:rPr>
      <w:b/>
      <w:bCs/>
    </w:rPr>
  </w:style>
  <w:style w:type="character" w:styleId="33">
    <w:name w:val="page number"/>
    <w:qFormat/>
    <w:uiPriority w:val="0"/>
    <w:rPr>
      <w:rFonts w:ascii="宋体" w:hAnsi="Times New Roman" w:eastAsia="宋体"/>
      <w:sz w:val="18"/>
    </w:rPr>
  </w:style>
  <w:style w:type="character" w:styleId="34">
    <w:name w:val="Emphasis"/>
    <w:qFormat/>
    <w:uiPriority w:val="20"/>
    <w:rPr>
      <w:i/>
      <w:iCs/>
    </w:rPr>
  </w:style>
  <w:style w:type="character" w:styleId="35">
    <w:name w:val="Hyperlink"/>
    <w:qFormat/>
    <w:uiPriority w:val="99"/>
    <w:rPr>
      <w:rFonts w:ascii="宋体" w:hAnsi="Times New Roman" w:eastAsia="宋体"/>
      <w:color w:val="auto"/>
      <w:spacing w:val="0"/>
      <w:w w:val="100"/>
      <w:position w:val="0"/>
      <w:sz w:val="21"/>
      <w:u w:val="none"/>
      <w:vertAlign w:val="baseline"/>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Char"/>
    <w:link w:val="3"/>
    <w:qFormat/>
    <w:uiPriority w:val="0"/>
    <w:rPr>
      <w:rFonts w:ascii="Times New Roman" w:hAnsi="Times New Roman" w:eastAsia="宋体" w:cs="Times New Roman"/>
      <w:b/>
      <w:bCs/>
      <w:kern w:val="44"/>
      <w:sz w:val="44"/>
      <w:szCs w:val="44"/>
    </w:rPr>
  </w:style>
  <w:style w:type="character" w:customStyle="1" w:styleId="38">
    <w:name w:val="标题 2 Char"/>
    <w:link w:val="4"/>
    <w:qFormat/>
    <w:uiPriority w:val="0"/>
    <w:rPr>
      <w:rFonts w:ascii="Arial" w:hAnsi="Arial" w:eastAsia="黑体" w:cs="Times New Roman"/>
      <w:b/>
      <w:bCs/>
      <w:sz w:val="32"/>
      <w:szCs w:val="32"/>
    </w:rPr>
  </w:style>
  <w:style w:type="character" w:customStyle="1" w:styleId="39">
    <w:name w:val="标题 3 Char"/>
    <w:link w:val="2"/>
    <w:qFormat/>
    <w:uiPriority w:val="0"/>
    <w:rPr>
      <w:rFonts w:ascii="Times New Roman" w:hAnsi="Times New Roman" w:eastAsia="宋体" w:cs="Times New Roman"/>
      <w:b/>
      <w:bCs/>
      <w:sz w:val="32"/>
      <w:szCs w:val="32"/>
    </w:rPr>
  </w:style>
  <w:style w:type="character" w:customStyle="1" w:styleId="40">
    <w:name w:val="标题 4 Char"/>
    <w:link w:val="5"/>
    <w:qFormat/>
    <w:uiPriority w:val="0"/>
    <w:rPr>
      <w:rFonts w:ascii="Arial" w:hAnsi="Arial" w:eastAsia="黑体" w:cs="Times New Roman"/>
      <w:b/>
      <w:bCs/>
      <w:sz w:val="28"/>
      <w:szCs w:val="28"/>
    </w:rPr>
  </w:style>
  <w:style w:type="character" w:customStyle="1" w:styleId="41">
    <w:name w:val="标题 5 Char"/>
    <w:link w:val="6"/>
    <w:qFormat/>
    <w:uiPriority w:val="0"/>
    <w:rPr>
      <w:rFonts w:ascii="Times New Roman" w:hAnsi="Times New Roman" w:eastAsia="宋体" w:cs="Times New Roman"/>
      <w:b/>
      <w:bCs/>
      <w:sz w:val="28"/>
      <w:szCs w:val="28"/>
    </w:rPr>
  </w:style>
  <w:style w:type="character" w:customStyle="1" w:styleId="42">
    <w:name w:val="标题 6 Char"/>
    <w:link w:val="7"/>
    <w:qFormat/>
    <w:uiPriority w:val="0"/>
    <w:rPr>
      <w:rFonts w:ascii="Arial" w:hAnsi="Arial" w:eastAsia="黑体" w:cs="Times New Roman"/>
      <w:b/>
      <w:bCs/>
      <w:sz w:val="24"/>
      <w:szCs w:val="24"/>
    </w:rPr>
  </w:style>
  <w:style w:type="character" w:customStyle="1" w:styleId="43">
    <w:name w:val="标题 7 Char"/>
    <w:link w:val="8"/>
    <w:qFormat/>
    <w:uiPriority w:val="0"/>
    <w:rPr>
      <w:rFonts w:ascii="Times New Roman" w:hAnsi="Times New Roman" w:eastAsia="宋体" w:cs="Times New Roman"/>
      <w:b/>
      <w:bCs/>
      <w:sz w:val="24"/>
      <w:szCs w:val="24"/>
    </w:rPr>
  </w:style>
  <w:style w:type="character" w:customStyle="1" w:styleId="44">
    <w:name w:val="标题 8 Char"/>
    <w:link w:val="9"/>
    <w:qFormat/>
    <w:uiPriority w:val="0"/>
    <w:rPr>
      <w:rFonts w:ascii="Arial" w:hAnsi="Arial" w:eastAsia="黑体" w:cs="Times New Roman"/>
      <w:sz w:val="24"/>
      <w:szCs w:val="24"/>
    </w:rPr>
  </w:style>
  <w:style w:type="character" w:customStyle="1" w:styleId="45">
    <w:name w:val="标题 9 Char"/>
    <w:link w:val="10"/>
    <w:qFormat/>
    <w:uiPriority w:val="0"/>
    <w:rPr>
      <w:rFonts w:ascii="Arial" w:hAnsi="Arial" w:eastAsia="黑体" w:cs="Times New Roman"/>
      <w:szCs w:val="21"/>
    </w:rPr>
  </w:style>
  <w:style w:type="character" w:customStyle="1" w:styleId="46">
    <w:name w:val="页眉 Char"/>
    <w:link w:val="20"/>
    <w:qFormat/>
    <w:uiPriority w:val="99"/>
    <w:rPr>
      <w:rFonts w:ascii="Times New Roman" w:hAnsi="Times New Roman" w:eastAsia="宋体" w:cs="Times New Roman"/>
      <w:sz w:val="18"/>
      <w:szCs w:val="18"/>
    </w:rPr>
  </w:style>
  <w:style w:type="character" w:customStyle="1" w:styleId="47">
    <w:name w:val="页脚 Char"/>
    <w:link w:val="19"/>
    <w:qFormat/>
    <w:uiPriority w:val="99"/>
    <w:rPr>
      <w:rFonts w:ascii="宋体" w:hAnsi="Times New Roman" w:eastAsia="宋体" w:cs="Times New Roman"/>
      <w:sz w:val="18"/>
      <w:szCs w:val="18"/>
    </w:rPr>
  </w:style>
  <w:style w:type="character" w:customStyle="1" w:styleId="48">
    <w:name w:val="批注框文本 Char"/>
    <w:link w:val="18"/>
    <w:semiHidden/>
    <w:qFormat/>
    <w:uiPriority w:val="99"/>
    <w:rPr>
      <w:sz w:val="18"/>
      <w:szCs w:val="18"/>
    </w:rPr>
  </w:style>
  <w:style w:type="paragraph" w:styleId="49">
    <w:name w:val="Quote"/>
    <w:basedOn w:val="1"/>
    <w:next w:val="1"/>
    <w:link w:val="50"/>
    <w:qFormat/>
    <w:uiPriority w:val="29"/>
    <w:rPr>
      <w:i/>
      <w:iCs/>
      <w:color w:val="000000"/>
    </w:rPr>
  </w:style>
  <w:style w:type="character" w:customStyle="1" w:styleId="50">
    <w:name w:val="引用 Char"/>
    <w:link w:val="49"/>
    <w:qFormat/>
    <w:uiPriority w:val="29"/>
    <w:rPr>
      <w:i/>
      <w:iCs/>
      <w:color w:val="000000"/>
    </w:rPr>
  </w:style>
  <w:style w:type="character" w:customStyle="1" w:styleId="51">
    <w:name w:val="标题 Char"/>
    <w:link w:val="28"/>
    <w:qFormat/>
    <w:uiPriority w:val="0"/>
    <w:rPr>
      <w:rFonts w:ascii="Arial" w:hAnsi="Arial" w:eastAsia="宋体" w:cs="Arial"/>
      <w:b/>
      <w:bCs/>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Char"/>
    <w:link w:val="14"/>
    <w:qFormat/>
    <w:uiPriority w:val="0"/>
    <w:rPr>
      <w:rFonts w:ascii="Times New Roman" w:hAnsi="Times New Roman" w:eastAsia="宋体" w:cs="Times New Roman"/>
      <w:szCs w:val="20"/>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pPr>
  </w:style>
  <w:style w:type="paragraph" w:customStyle="1" w:styleId="94">
    <w:name w:val="标准文件_目录标题"/>
    <w:basedOn w:val="1"/>
    <w:qFormat/>
    <w:uiPriority w:val="0"/>
    <w:pPr>
      <w:spacing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ind w:left="0" w:firstLine="200"/>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2">
    <w:name w:val="脚注文本 Char"/>
    <w:link w:val="23"/>
    <w:semiHidden/>
    <w:qFormat/>
    <w:uiPriority w:val="0"/>
    <w:rPr>
      <w:rFonts w:ascii="宋体" w:hAnsi="Times New Roman" w:eastAsia="宋体" w:cs="Times New Roman"/>
      <w:sz w:val="18"/>
      <w:szCs w:val="18"/>
    </w:rPr>
  </w:style>
  <w:style w:type="paragraph" w:customStyle="1" w:styleId="103">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Lines="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semiHidden/>
    <w:qFormat/>
    <w:uiPriority w:val="0"/>
    <w:pPr>
      <w:adjustRightInd/>
      <w:spacing w:line="240" w:lineRule="auto"/>
      <w:jc w:val="left"/>
    </w:pPr>
    <w:rPr>
      <w:bCs/>
      <w:iCs/>
    </w:rPr>
  </w:style>
  <w:style w:type="paragraph" w:customStyle="1" w:styleId="146">
    <w:name w:val="目录 31"/>
    <w:basedOn w:val="1"/>
    <w:next w:val="1"/>
    <w:semiHidden/>
    <w:qFormat/>
    <w:uiPriority w:val="0"/>
    <w:pPr>
      <w:spacing w:line="240" w:lineRule="auto"/>
    </w:pPr>
    <w:rPr>
      <w:rFonts w:ascii="宋体" w:hAnsi="宋体"/>
      <w:iCs/>
    </w:rPr>
  </w:style>
  <w:style w:type="paragraph" w:customStyle="1" w:styleId="147">
    <w:name w:val="目录 41"/>
    <w:basedOn w:val="1"/>
    <w:next w:val="1"/>
    <w:semiHidden/>
    <w:qFormat/>
    <w:uiPriority w:val="0"/>
    <w:pPr>
      <w:adjustRightInd/>
      <w:spacing w:line="240" w:lineRule="auto"/>
      <w:jc w:val="left"/>
    </w:pPr>
  </w:style>
  <w:style w:type="paragraph" w:customStyle="1" w:styleId="148">
    <w:name w:val="目录 51"/>
    <w:basedOn w:val="1"/>
    <w:next w:val="1"/>
    <w:semiHidden/>
    <w:qFormat/>
    <w:uiPriority w:val="0"/>
    <w:pPr>
      <w:spacing w:line="240" w:lineRule="auto"/>
    </w:pPr>
    <w:rPr>
      <w:rFonts w:ascii="宋体" w:hAnsi="宋体"/>
    </w:rPr>
  </w:style>
  <w:style w:type="paragraph" w:customStyle="1" w:styleId="149">
    <w:name w:val="目录 61"/>
    <w:basedOn w:val="1"/>
    <w:next w:val="1"/>
    <w:semiHidden/>
    <w:qFormat/>
    <w:uiPriority w:val="0"/>
    <w:pPr>
      <w:adjustRightInd/>
      <w:spacing w:line="240" w:lineRule="auto"/>
      <w:jc w:val="left"/>
    </w:pPr>
  </w:style>
  <w:style w:type="paragraph" w:customStyle="1" w:styleId="150">
    <w:name w:val="目录 71"/>
    <w:basedOn w:val="149"/>
    <w:semiHidden/>
    <w:qFormat/>
    <w:uiPriority w:val="0"/>
    <w:pPr>
      <w:ind w:left="1260"/>
    </w:pPr>
  </w:style>
  <w:style w:type="paragraph" w:customStyle="1" w:styleId="151">
    <w:name w:val="目录 81"/>
    <w:basedOn w:val="150"/>
    <w:semiHidden/>
    <w:qFormat/>
    <w:uiPriority w:val="0"/>
    <w:pPr>
      <w:ind w:left="1470"/>
    </w:pPr>
  </w:style>
  <w:style w:type="paragraph" w:customStyle="1" w:styleId="152">
    <w:name w:val="目录 91"/>
    <w:basedOn w:val="151"/>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Lines="0" w:afterLines="0"/>
      <w:outlineLvl w:val="9"/>
    </w:pPr>
    <w:rPr>
      <w:rFonts w:ascii="宋体" w:eastAsia="宋体"/>
    </w:rPr>
  </w:style>
  <w:style w:type="paragraph" w:customStyle="1" w:styleId="166">
    <w:name w:val="标准文件_五级无标题"/>
    <w:basedOn w:val="106"/>
    <w:qFormat/>
    <w:uiPriority w:val="0"/>
    <w:pPr>
      <w:spacing w:beforeLines="0" w:afterLines="0"/>
      <w:outlineLvl w:val="9"/>
    </w:pPr>
    <w:rPr>
      <w:rFonts w:ascii="宋体" w:eastAsia="宋体"/>
    </w:rPr>
  </w:style>
  <w:style w:type="paragraph" w:customStyle="1" w:styleId="167">
    <w:name w:val="标准文件_三级无标题"/>
    <w:basedOn w:val="97"/>
    <w:qFormat/>
    <w:uiPriority w:val="0"/>
    <w:pPr>
      <w:spacing w:beforeLines="0" w:afterLines="0"/>
      <w:outlineLvl w:val="9"/>
    </w:pPr>
    <w:rPr>
      <w:rFonts w:ascii="宋体" w:eastAsia="宋体"/>
    </w:rPr>
  </w:style>
  <w:style w:type="paragraph" w:customStyle="1" w:styleId="168">
    <w:name w:val="标准文件_二级无标题"/>
    <w:basedOn w:val="68"/>
    <w:qFormat/>
    <w:uiPriority w:val="0"/>
    <w:pPr>
      <w:spacing w:beforeLines="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Lines="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ind w:left="783"/>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1"/>
    <w:semiHidden/>
    <w:qFormat/>
    <w:uiPriority w:val="99"/>
    <w:rPr>
      <w:color w:val="808080"/>
    </w:rPr>
  </w:style>
  <w:style w:type="paragraph" w:customStyle="1" w:styleId="190">
    <w:name w:val="标准文件_二级项2"/>
    <w:basedOn w:val="59"/>
    <w:qFormat/>
    <w:uiPriority w:val="0"/>
    <w:pPr>
      <w:numPr>
        <w:ilvl w:val="1"/>
        <w:numId w:val="21"/>
      </w:numPr>
      <w:ind w:left="1271" w:hanging="420" w:firstLineChars="0"/>
    </w:pPr>
  </w:style>
  <w:style w:type="paragraph" w:customStyle="1" w:styleId="191">
    <w:name w:val="标准文件_三级项2"/>
    <w:basedOn w:val="59"/>
    <w:qFormat/>
    <w:uiPriority w:val="0"/>
    <w:pPr>
      <w:numPr>
        <w:ilvl w:val="0"/>
        <w:numId w:val="30"/>
      </w:numPr>
      <w:spacing w:line="300" w:lineRule="exact"/>
      <w:ind w:left="1276" w:hanging="425" w:firstLineChars="0"/>
    </w:pPr>
    <w:rPr>
      <w:rFonts w:ascii="Times New Roman"/>
    </w:rPr>
  </w:style>
  <w:style w:type="paragraph" w:customStyle="1" w:styleId="192">
    <w:name w:val="标准文件_一级项2"/>
    <w:basedOn w:val="59"/>
    <w:qFormat/>
    <w:uiPriority w:val="0"/>
    <w:pPr>
      <w:numPr>
        <w:ilvl w:val="0"/>
        <w:numId w:val="31"/>
      </w:numPr>
      <w:spacing w:line="300" w:lineRule="exact"/>
      <w:ind w:left="1271" w:hanging="420"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1"/>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vAnchor="page" w:hAnchor="page" w:x="1419" w:y="14097"/>
    </w:pPr>
  </w:style>
  <w:style w:type="paragraph" w:customStyle="1" w:styleId="197">
    <w:name w:val="其他实施日期"/>
    <w:basedOn w:val="157"/>
    <w:qFormat/>
    <w:uiPriority w:val="0"/>
    <w:pPr>
      <w:framePr w:w="3997" w:h="471" w:hRule="exact" w:vSpace="181" w:vAnchor="page" w:hAnchor="page" w:x="7089" w:y="14097"/>
    </w:pPr>
  </w:style>
  <w:style w:type="paragraph" w:customStyle="1" w:styleId="198">
    <w:name w:val="标准文件_文件编号"/>
    <w:basedOn w:val="59"/>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59"/>
    <w:next w:val="59"/>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Lines="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Lines="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Lines="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Lines="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Lines="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Lines="0" w:afterLines="0" w:line="276" w:lineRule="auto"/>
      <w:outlineLvl w:val="9"/>
    </w:pPr>
    <w:rPr>
      <w:rFonts w:ascii="宋体" w:eastAsia="宋体"/>
    </w:rPr>
  </w:style>
  <w:style w:type="paragraph" w:customStyle="1" w:styleId="215">
    <w:name w:val="标准文件_附录二级无标题"/>
    <w:basedOn w:val="82"/>
    <w:qFormat/>
    <w:uiPriority w:val="0"/>
    <w:pPr>
      <w:spacing w:beforeLines="0" w:afterLines="0" w:line="276" w:lineRule="auto"/>
      <w:outlineLvl w:val="9"/>
    </w:pPr>
    <w:rPr>
      <w:rFonts w:ascii="宋体" w:eastAsia="宋体"/>
    </w:rPr>
  </w:style>
  <w:style w:type="paragraph" w:customStyle="1" w:styleId="216">
    <w:name w:val="标准文件_附录三级无标题"/>
    <w:basedOn w:val="84"/>
    <w:qFormat/>
    <w:uiPriority w:val="0"/>
    <w:pPr>
      <w:spacing w:beforeLines="0" w:afterLines="0" w:line="276" w:lineRule="auto"/>
      <w:outlineLvl w:val="9"/>
    </w:pPr>
    <w:rPr>
      <w:rFonts w:ascii="宋体" w:eastAsia="宋体"/>
    </w:rPr>
  </w:style>
  <w:style w:type="paragraph" w:customStyle="1" w:styleId="217">
    <w:name w:val="标准文件_附录四级无标题"/>
    <w:basedOn w:val="85"/>
    <w:qFormat/>
    <w:uiPriority w:val="0"/>
    <w:pPr>
      <w:spacing w:beforeLines="0" w:afterLines="0" w:line="276" w:lineRule="auto"/>
      <w:outlineLvl w:val="9"/>
    </w:pPr>
    <w:rPr>
      <w:rFonts w:ascii="宋体" w:eastAsia="宋体"/>
    </w:rPr>
  </w:style>
  <w:style w:type="paragraph" w:customStyle="1" w:styleId="218">
    <w:name w:val="标准文件_附录五级无标题"/>
    <w:basedOn w:val="87"/>
    <w:qFormat/>
    <w:uiPriority w:val="0"/>
    <w:pPr>
      <w:spacing w:beforeLines="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Lines="0" w:afterLines="0" w:line="276" w:lineRule="auto"/>
    </w:pPr>
    <w:rPr>
      <w:rFonts w:ascii="宋体" w:eastAsia="宋体"/>
    </w:rPr>
  </w:style>
  <w:style w:type="paragraph" w:customStyle="1" w:styleId="220">
    <w:name w:val="标准文件_引言二级无标题"/>
    <w:basedOn w:val="204"/>
    <w:next w:val="59"/>
    <w:qFormat/>
    <w:uiPriority w:val="0"/>
    <w:pPr>
      <w:spacing w:beforeLines="0" w:afterLines="0" w:line="276" w:lineRule="auto"/>
    </w:pPr>
    <w:rPr>
      <w:rFonts w:ascii="宋体" w:eastAsia="宋体"/>
    </w:rPr>
  </w:style>
  <w:style w:type="paragraph" w:customStyle="1" w:styleId="221">
    <w:name w:val="标准文件_引言三级无标题"/>
    <w:basedOn w:val="205"/>
    <w:next w:val="59"/>
    <w:qFormat/>
    <w:uiPriority w:val="0"/>
    <w:pPr>
      <w:spacing w:beforeLines="0" w:afterLines="0" w:line="276" w:lineRule="auto"/>
    </w:pPr>
    <w:rPr>
      <w:rFonts w:ascii="宋体" w:eastAsia="宋体"/>
    </w:rPr>
  </w:style>
  <w:style w:type="paragraph" w:customStyle="1" w:styleId="222">
    <w:name w:val="标准文件_引言四级无标题"/>
    <w:basedOn w:val="206"/>
    <w:next w:val="59"/>
    <w:qFormat/>
    <w:uiPriority w:val="0"/>
    <w:pPr>
      <w:spacing w:beforeLines="0" w:afterLines="0" w:line="276" w:lineRule="auto"/>
    </w:pPr>
    <w:rPr>
      <w:rFonts w:ascii="宋体" w:eastAsia="宋体"/>
    </w:rPr>
  </w:style>
  <w:style w:type="paragraph" w:customStyle="1" w:styleId="223">
    <w:name w:val="标准文件_引言五级无标题"/>
    <w:basedOn w:val="207"/>
    <w:next w:val="59"/>
    <w:qFormat/>
    <w:uiPriority w:val="0"/>
    <w:pPr>
      <w:spacing w:beforeLines="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1"/>
    <w:qFormat/>
    <w:uiPriority w:val="0"/>
    <w:rPr>
      <w:rFonts w:ascii="黑体" w:eastAsia="黑体"/>
      <w:spacing w:val="85"/>
      <w:w w:val="100"/>
      <w:position w:val="3"/>
      <w:sz w:val="28"/>
      <w:szCs w:val="28"/>
    </w:rPr>
  </w:style>
  <w:style w:type="character" w:customStyle="1" w:styleId="233">
    <w:name w:val="批注文字 Char"/>
    <w:basedOn w:val="31"/>
    <w:link w:val="13"/>
    <w:qFormat/>
    <w:uiPriority w:val="99"/>
    <w:rPr>
      <w:rFonts w:ascii="Times New Roman"/>
      <w:sz w:val="21"/>
      <w:szCs w:val="21"/>
    </w:rPr>
  </w:style>
  <w:style w:type="paragraph" w:customStyle="1" w:styleId="234">
    <w:name w:val="正文首行缩进 21"/>
    <w:basedOn w:val="15"/>
    <w:next w:val="1"/>
    <w:qFormat/>
    <w:uiPriority w:val="0"/>
    <w:rPr>
      <w:rFonts w:ascii="Times New Roman"/>
      <w:kern w:val="0"/>
    </w:rPr>
  </w:style>
  <w:style w:type="character" w:customStyle="1" w:styleId="235">
    <w:name w:val="15"/>
    <w:basedOn w:val="31"/>
    <w:qFormat/>
    <w:uiPriority w:val="0"/>
    <w:rPr>
      <w:rFonts w:hint="eastAsia" w:ascii="宋体" w:hAnsi="宋体" w:eastAsia="宋体"/>
      <w:color w:val="000000"/>
      <w:sz w:val="21"/>
      <w:szCs w:val="21"/>
    </w:rPr>
  </w:style>
  <w:style w:type="character" w:customStyle="1" w:styleId="236">
    <w:name w:val="正文文本缩进 Char"/>
    <w:basedOn w:val="31"/>
    <w:link w:val="15"/>
    <w:semiHidden/>
    <w:qFormat/>
    <w:uiPriority w:val="99"/>
    <w:rPr>
      <w:kern w:val="2"/>
      <w:sz w:val="21"/>
      <w:szCs w:val="21"/>
    </w:rPr>
  </w:style>
  <w:style w:type="character" w:customStyle="1" w:styleId="237">
    <w:name w:val="font11"/>
    <w:basedOn w:val="31"/>
    <w:qFormat/>
    <w:uiPriority w:val="0"/>
    <w:rPr>
      <w:rFonts w:hint="default" w:ascii="Times New Roman" w:hAnsi="Times New Roman" w:cs="Times New Roman"/>
      <w:color w:val="000000"/>
      <w:sz w:val="21"/>
      <w:szCs w:val="21"/>
      <w:u w:val="none"/>
    </w:rPr>
  </w:style>
  <w:style w:type="character" w:customStyle="1" w:styleId="238">
    <w:name w:val="font31"/>
    <w:basedOn w:val="31"/>
    <w:qFormat/>
    <w:uiPriority w:val="0"/>
    <w:rPr>
      <w:rFonts w:ascii="仿宋_GB2312" w:eastAsia="仿宋_GB2312" w:cs="仿宋_GB2312"/>
      <w:color w:val="000000"/>
      <w:sz w:val="21"/>
      <w:szCs w:val="21"/>
      <w:u w:val="none"/>
    </w:rPr>
  </w:style>
  <w:style w:type="character" w:customStyle="1" w:styleId="239">
    <w:name w:val="font51"/>
    <w:basedOn w:val="31"/>
    <w:qFormat/>
    <w:uiPriority w:val="0"/>
    <w:rPr>
      <w:rFonts w:ascii="方正仿宋_GBK" w:hAnsi="方正仿宋_GBK" w:eastAsia="方正仿宋_GBK" w:cs="方正仿宋_GBK"/>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693EC90224E4EC1BF45BB299903AA0D"/>
        <w:style w:val=""/>
        <w:category>
          <w:name w:val="常规"/>
          <w:gallery w:val="placeholder"/>
        </w:category>
        <w:types>
          <w:type w:val="bbPlcHdr"/>
        </w:types>
        <w:behaviors>
          <w:behavior w:val="content"/>
        </w:behaviors>
        <w:description w:val=""/>
        <w:guid w:val="{150763FC-C7DC-4BC2-8507-32A03BF1F0B0}"/>
      </w:docPartPr>
      <w:docPartBody>
        <w:p>
          <w:pPr>
            <w:pStyle w:val="5"/>
          </w:pPr>
          <w:r>
            <w:rPr>
              <w:rStyle w:val="4"/>
              <w:rFonts w:hint="eastAsia"/>
            </w:rPr>
            <w:t>单击或点击此处输入文字。</w:t>
          </w:r>
        </w:p>
      </w:docPartBody>
    </w:docPart>
    <w:docPart>
      <w:docPartPr>
        <w:name w:val="0E09D6B83E1C4D42A8C0AC995179E8C9"/>
        <w:style w:val=""/>
        <w:category>
          <w:name w:val="常规"/>
          <w:gallery w:val="placeholder"/>
        </w:category>
        <w:types>
          <w:type w:val="bbPlcHdr"/>
        </w:types>
        <w:behaviors>
          <w:behavior w:val="content"/>
        </w:behaviors>
        <w:description w:val=""/>
        <w:guid w:val="{0EE52E0A-4BEC-4ECA-89C0-8FE63DD33FEA}"/>
      </w:docPartPr>
      <w:docPartBody>
        <w:p>
          <w:pPr>
            <w:pStyle w:val="6"/>
          </w:pPr>
          <w:r>
            <w:rPr>
              <w:rStyle w:val="4"/>
              <w:rFonts w:hint="eastAsia"/>
            </w:rPr>
            <w:t>选择一项。</w:t>
          </w:r>
        </w:p>
      </w:docPartBody>
    </w:docPart>
    <w:docPart>
      <w:docPartPr>
        <w:name w:val="59D592C9225D4CFF8BCF09215A78E1CB"/>
        <w:style w:val=""/>
        <w:category>
          <w:name w:val="常规"/>
          <w:gallery w:val="placeholder"/>
        </w:category>
        <w:types>
          <w:type w:val="bbPlcHdr"/>
        </w:types>
        <w:behaviors>
          <w:behavior w:val="content"/>
        </w:behaviors>
        <w:description w:val=""/>
        <w:guid w:val="{C3DCAE4E-BDAD-4CB2-99F5-4672A2377067}"/>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860076"/>
    <w:rsid w:val="00147FF1"/>
    <w:rsid w:val="00250EE1"/>
    <w:rsid w:val="00736B9B"/>
    <w:rsid w:val="00860076"/>
    <w:rsid w:val="00A10C16"/>
    <w:rsid w:val="00BB7191"/>
    <w:rsid w:val="00CB1180"/>
    <w:rsid w:val="00CD4074"/>
    <w:rsid w:val="00FF501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D693EC90224E4EC1BF45BB299903AA0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E09D6B83E1C4D42A8C0AC995179E8C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9D592C9225D4CFF8BCF09215A78E1CB"/>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C50FD3-416A-4B9C-81AB-52EC9503FFB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10</Pages>
  <Words>960</Words>
  <Characters>5478</Characters>
  <Lines>45</Lines>
  <Paragraphs>12</Paragraphs>
  <TotalTime>37</TotalTime>
  <ScaleCrop>false</ScaleCrop>
  <LinksUpToDate>false</LinksUpToDate>
  <CharactersWithSpaces>6426</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2024-07-31T06:38:00Z</dcterms:created>
  <dc:creator>Administrator</dc:creator>
  <cp:lastModifiedBy>Mr佘</cp:lastModifiedBy>
  <cp:lastPrinted>2020-08-30T10:00:00Z</cp:lastPrinted>
  <dcterms:modified xsi:type="dcterms:W3CDTF">2024-09-02T02:10:45Z</dcterms:modified>
  <dc:title>地方标准</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2052-11.8.2.11019</vt:lpwstr>
  </property>
  <property fmtid="{D5CDD505-2E9C-101B-9397-08002B2CF9AE}" pid="15" name="ICV">
    <vt:lpwstr>D1383019C2E5481AB451B75EDAA2BBDD_13</vt:lpwstr>
  </property>
</Properties>
</file>